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33C5D" w14:textId="77777777" w:rsidR="007A4481" w:rsidRPr="009F3325" w:rsidRDefault="007A4481">
      <w:pPr>
        <w:pStyle w:val="Textoindependiente"/>
        <w:ind w:left="0"/>
        <w:rPr>
          <w:sz w:val="20"/>
          <w:lang w:val="es-ES_tradnl"/>
        </w:rPr>
      </w:pPr>
    </w:p>
    <w:p w14:paraId="69EFB0E5" w14:textId="77777777" w:rsidR="007A4481" w:rsidRPr="009F3325" w:rsidRDefault="007A4481">
      <w:pPr>
        <w:pStyle w:val="Textoindependiente"/>
        <w:spacing w:before="10"/>
        <w:ind w:left="0"/>
        <w:rPr>
          <w:sz w:val="21"/>
          <w:lang w:val="es-ES_tradnl"/>
        </w:rPr>
      </w:pPr>
    </w:p>
    <w:p w14:paraId="2B623DCC" w14:textId="77777777" w:rsidR="007A4481" w:rsidRPr="009F3325" w:rsidRDefault="002E5E27">
      <w:pPr>
        <w:ind w:left="2602" w:right="3434"/>
        <w:jc w:val="center"/>
        <w:rPr>
          <w:b/>
          <w:sz w:val="24"/>
          <w:lang w:val="es-ES_tradnl"/>
        </w:rPr>
      </w:pPr>
      <w:r w:rsidRPr="009F3325">
        <w:rPr>
          <w:noProof/>
          <w:lang w:val="es-ES_tradnl" w:eastAsia="es-AR"/>
        </w:rPr>
        <w:drawing>
          <wp:anchor distT="0" distB="0" distL="0" distR="0" simplePos="0" relativeHeight="15728640" behindDoc="0" locked="0" layoutInCell="1" allowOverlap="1" wp14:anchorId="67BBE069" wp14:editId="615FD2B3">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r w:rsidRPr="009F3325">
        <w:rPr>
          <w:b/>
          <w:bCs/>
          <w:sz w:val="24"/>
          <w:lang w:val="es-ES_tradnl"/>
        </w:rPr>
        <w:t>SEKO LOGISTICS</w:t>
      </w:r>
    </w:p>
    <w:p w14:paraId="72E99791" w14:textId="47CD4745" w:rsidR="007A4481" w:rsidRPr="009F3325" w:rsidRDefault="002E5E27">
      <w:pPr>
        <w:spacing w:before="22"/>
        <w:ind w:left="2602" w:right="3442"/>
        <w:jc w:val="center"/>
        <w:rPr>
          <w:b/>
          <w:sz w:val="24"/>
          <w:lang w:val="es-ES_tradnl"/>
        </w:rPr>
      </w:pPr>
      <w:r w:rsidRPr="009F3325">
        <w:rPr>
          <w:b/>
          <w:bCs/>
          <w:sz w:val="24"/>
          <w:lang w:val="es-ES_tradnl"/>
        </w:rPr>
        <w:t xml:space="preserve">Política global de retención </w:t>
      </w:r>
      <w:r w:rsidR="009F3325">
        <w:rPr>
          <w:b/>
          <w:bCs/>
          <w:sz w:val="24"/>
          <w:lang w:val="es-ES_tradnl"/>
        </w:rPr>
        <w:br/>
      </w:r>
      <w:r w:rsidRPr="009F3325">
        <w:rPr>
          <w:b/>
          <w:bCs/>
          <w:sz w:val="24"/>
          <w:lang w:val="es-ES_tradnl"/>
        </w:rPr>
        <w:t xml:space="preserve">y </w:t>
      </w:r>
      <w:r w:rsidRPr="009F3325">
        <w:rPr>
          <w:b/>
          <w:bCs/>
          <w:sz w:val="24"/>
          <w:lang w:val="es-ES_tradnl"/>
        </w:rPr>
        <w:t>destrucción de documentos</w:t>
      </w:r>
    </w:p>
    <w:p w14:paraId="06689B6D" w14:textId="77777777" w:rsidR="007A4481" w:rsidRPr="009F3325" w:rsidRDefault="007A4481">
      <w:pPr>
        <w:pStyle w:val="Textoindependiente"/>
        <w:ind w:left="0"/>
        <w:rPr>
          <w:b/>
          <w:sz w:val="20"/>
          <w:lang w:val="es-ES_tradnl"/>
        </w:rPr>
      </w:pPr>
    </w:p>
    <w:p w14:paraId="761F60E9" w14:textId="77777777" w:rsidR="007A4481" w:rsidRPr="009F3325" w:rsidRDefault="007A4481">
      <w:pPr>
        <w:pStyle w:val="Textoindependiente"/>
        <w:spacing w:before="6"/>
        <w:ind w:left="0"/>
        <w:rPr>
          <w:b/>
          <w:sz w:val="21"/>
          <w:lang w:val="es-ES_tradnl"/>
        </w:rPr>
      </w:pPr>
    </w:p>
    <w:p w14:paraId="2CD5D351" w14:textId="346B254F" w:rsidR="007A4481" w:rsidRPr="009F3325" w:rsidRDefault="002E5E27">
      <w:pPr>
        <w:spacing w:before="1"/>
        <w:ind w:left="540"/>
        <w:rPr>
          <w:b/>
          <w:sz w:val="24"/>
          <w:lang w:val="es-ES_tradnl"/>
        </w:rPr>
      </w:pPr>
      <w:r w:rsidRPr="009F3325">
        <w:rPr>
          <w:b/>
          <w:bCs/>
          <w:sz w:val="24"/>
          <w:lang w:val="es-ES_tradnl"/>
        </w:rPr>
        <w:t>Emitido: 21 de mayo de 2010; revisado y reeditado el 11 de mayo de 2023</w:t>
      </w:r>
    </w:p>
    <w:p w14:paraId="221889E4" w14:textId="77777777" w:rsidR="007A4481" w:rsidRPr="009F3325" w:rsidRDefault="007A4481">
      <w:pPr>
        <w:pStyle w:val="Textoindependiente"/>
        <w:ind w:left="0"/>
        <w:rPr>
          <w:b/>
          <w:sz w:val="26"/>
          <w:lang w:val="es-ES_tradnl"/>
        </w:rPr>
      </w:pPr>
    </w:p>
    <w:p w14:paraId="226EC3E6" w14:textId="77777777" w:rsidR="007A4481" w:rsidRPr="009F3325" w:rsidRDefault="002E5E27">
      <w:pPr>
        <w:spacing w:before="154"/>
        <w:ind w:left="540"/>
        <w:rPr>
          <w:b/>
          <w:sz w:val="24"/>
          <w:lang w:val="es-ES_tradnl"/>
        </w:rPr>
      </w:pPr>
      <w:r w:rsidRPr="009F3325">
        <w:rPr>
          <w:b/>
          <w:bCs/>
          <w:sz w:val="24"/>
          <w:lang w:val="es-ES_tradnl"/>
        </w:rPr>
        <w:t>Introducción</w:t>
      </w:r>
    </w:p>
    <w:p w14:paraId="0E5E20C1" w14:textId="77777777" w:rsidR="007A4481" w:rsidRPr="009F3325" w:rsidRDefault="002E5E27">
      <w:pPr>
        <w:pStyle w:val="Prrafodelista"/>
        <w:numPr>
          <w:ilvl w:val="0"/>
          <w:numId w:val="1"/>
        </w:numPr>
        <w:tabs>
          <w:tab w:val="left" w:pos="756"/>
        </w:tabs>
        <w:spacing w:before="3" w:line="275" w:lineRule="exact"/>
        <w:rPr>
          <w:b/>
          <w:sz w:val="24"/>
          <w:lang w:val="es-ES_tradnl"/>
        </w:rPr>
      </w:pPr>
      <w:r w:rsidRPr="009F3325">
        <w:rPr>
          <w:b/>
          <w:bCs/>
          <w:sz w:val="24"/>
          <w:lang w:val="es-ES_tradnl"/>
        </w:rPr>
        <w:t>Objetivo.</w:t>
      </w:r>
    </w:p>
    <w:p w14:paraId="4C1B498E" w14:textId="0D831BB2" w:rsidR="007A4481" w:rsidRPr="009F3325" w:rsidRDefault="002E5E27">
      <w:pPr>
        <w:pStyle w:val="Textoindependiente"/>
        <w:ind w:right="1369"/>
        <w:rPr>
          <w:lang w:val="es-ES_tradnl"/>
        </w:rPr>
      </w:pPr>
      <w:r w:rsidRPr="009F3325">
        <w:rPr>
          <w:lang w:val="es-ES_tradnl"/>
        </w:rPr>
        <w:t xml:space="preserve">SEKO Global </w:t>
      </w:r>
      <w:r w:rsidRPr="009F3325">
        <w:rPr>
          <w:lang w:val="es-ES_tradnl"/>
        </w:rPr>
        <w:t>Logistics Network, LLC y sus subsidiarias (colectivamente "SEKO" o la "Empresa") consideran sus registros corporativos y comerciales como activos importantes. Los registros corporativos incluyen esencialmente todos los registros que usted produce como empl</w:t>
      </w:r>
      <w:r w:rsidRPr="009F3325">
        <w:rPr>
          <w:lang w:val="es-ES_tradnl"/>
        </w:rPr>
        <w:t>eado, ya sean en papel o electrónicos. Un registro puede ser tan obvio como un memorando, un correo electrónico o un contrato, o algo no tan obvio, como un calendario de escritorio computarizado, un libro de citas o un mensaje instantáneo.</w:t>
      </w:r>
    </w:p>
    <w:p w14:paraId="4DE1A454" w14:textId="77777777" w:rsidR="007A4481" w:rsidRPr="009F3325" w:rsidRDefault="007A4481">
      <w:pPr>
        <w:pStyle w:val="Textoindependiente"/>
        <w:spacing w:before="11"/>
        <w:ind w:left="0"/>
        <w:rPr>
          <w:sz w:val="23"/>
          <w:lang w:val="es-ES_tradnl"/>
        </w:rPr>
      </w:pPr>
    </w:p>
    <w:p w14:paraId="6469F8E4" w14:textId="708D32E0" w:rsidR="007A4481" w:rsidRPr="009F3325" w:rsidRDefault="002E5E27">
      <w:pPr>
        <w:pStyle w:val="Textoindependiente"/>
        <w:ind w:right="1369"/>
        <w:rPr>
          <w:lang w:val="es-ES_tradnl"/>
        </w:rPr>
      </w:pPr>
      <w:r w:rsidRPr="009F3325">
        <w:rPr>
          <w:lang w:val="es-ES_tradnl"/>
        </w:rPr>
        <w:t>La ley requiere</w:t>
      </w:r>
      <w:r w:rsidRPr="009F3325">
        <w:rPr>
          <w:lang w:val="es-ES_tradnl"/>
        </w:rPr>
        <w:t xml:space="preserve"> que SEKO mantenga guardados ciertos tipos de registros, generalmente durante un período de tiempo específico. El hecho de no conservar esos registros durante esos períodos mínimos podría someterlo a usted y a la Empresa a sanciones y multas, causar la pér</w:t>
      </w:r>
      <w:r w:rsidRPr="009F3325">
        <w:rPr>
          <w:lang w:val="es-ES_tradnl"/>
        </w:rPr>
        <w:t>dida de derechos, obstruir la justicia, estropear posibles pruebas en una demanda, generarle a la Empresa un incidente de desacato al tribunal o perjudicar seriamente a la Empresa con un litigio.</w:t>
      </w:r>
    </w:p>
    <w:p w14:paraId="507E1C84" w14:textId="2B2D09C4" w:rsidR="007A4481" w:rsidRPr="009F3325" w:rsidRDefault="009F3325" w:rsidP="009F3325">
      <w:pPr>
        <w:pStyle w:val="Textoindependiente"/>
        <w:ind w:left="0"/>
        <w:jc w:val="center"/>
        <w:rPr>
          <w:lang w:val="es-ES_tradnl"/>
        </w:rPr>
      </w:pPr>
      <w:r>
        <w:rPr>
          <w:noProof/>
          <w:lang w:val="es-AR" w:eastAsia="es-AR"/>
        </w:rPr>
        <mc:AlternateContent>
          <mc:Choice Requires="wps">
            <w:drawing>
              <wp:anchor distT="0" distB="0" distL="114300" distR="114300" simplePos="0" relativeHeight="487590400" behindDoc="1" locked="0" layoutInCell="1" allowOverlap="1" wp14:anchorId="11A84C92" wp14:editId="6B085573">
                <wp:simplePos x="0" y="0"/>
                <wp:positionH relativeFrom="page">
                  <wp:posOffset>901700</wp:posOffset>
                </wp:positionH>
                <wp:positionV relativeFrom="page">
                  <wp:posOffset>1080135</wp:posOffset>
                </wp:positionV>
                <wp:extent cx="5768975" cy="6318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C8799" w14:textId="5D6DC9B1" w:rsidR="009F3325" w:rsidRPr="009F3325" w:rsidRDefault="009F3325" w:rsidP="009F3325">
                            <w:pPr>
                              <w:pStyle w:val="Textoindependiente"/>
                              <w:spacing w:before="10"/>
                              <w:ind w:left="20"/>
                              <w:rPr>
                                <w:lang w:val="es-A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4C92" id="_x0000_t202" coordsize="21600,21600" o:spt="202" path="m,l,21600r21600,l21600,xe">
                <v:stroke joinstyle="miter"/>
                <v:path gradientshapeok="t" o:connecttype="rect"/>
              </v:shapetype>
              <v:shape id="Cuadro de texto 4" o:spid="_x0000_s1026" type="#_x0000_t202" style="position:absolute;left:0;text-align:left;margin-left:71pt;margin-top:85.05pt;width:454.25pt;height:49.75pt;z-index:-157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" filled="f" stroked="f">
                <v:textbox inset="0,0,0,0">
                  <w:txbxContent>
                    <w:p w14:paraId="3C9C8799" w14:textId="5D6DC9B1" w:rsidR="009F3325" w:rsidRPr="009F3325" w:rsidRDefault="009F3325" w:rsidP="009F3325">
                      <w:pPr>
                        <w:pStyle w:val="Textoindependiente"/>
                        <w:spacing w:before="10"/>
                        <w:ind w:left="20"/>
                        <w:rPr>
                          <w:lang w:val="es-AR"/>
                        </w:rPr>
                      </w:pPr>
                    </w:p>
                  </w:txbxContent>
                </v:textbox>
                <w10:wrap anchorx="page" anchory="page"/>
              </v:shape>
            </w:pict>
          </mc:Fallback>
        </mc:AlternateContent>
      </w:r>
    </w:p>
    <w:p w14:paraId="1118DE0E" w14:textId="73E5AB17" w:rsidR="007A4481" w:rsidRPr="009F3325" w:rsidRDefault="002E5E27">
      <w:pPr>
        <w:pStyle w:val="Textoindependiente"/>
        <w:ind w:right="1472"/>
        <w:rPr>
          <w:lang w:val="es-ES_tradnl"/>
        </w:rPr>
      </w:pPr>
      <w:r w:rsidRPr="009F3325">
        <w:rPr>
          <w:lang w:val="es-ES_tradnl"/>
        </w:rPr>
        <w:t>Además, la Ley Sarbanes-Oxley de 2002 ("SOX")1 y sus regula</w:t>
      </w:r>
      <w:r w:rsidRPr="009F3325">
        <w:rPr>
          <w:lang w:val="es-ES_tradnl"/>
        </w:rPr>
        <w:t xml:space="preserve">ciones requieren que las empresas estadounidenses conserven sus documentos de trabajo de auditoría e información relacionada durante 7 años después de la conclusión de la auditoría relevante. La ley SOX también contiene dos disposiciones de obstrucción de </w:t>
      </w:r>
      <w:r w:rsidRPr="009F3325">
        <w:rPr>
          <w:lang w:val="es-ES_tradnl"/>
        </w:rPr>
        <w:t>la justicia que penalizan la destrucción o alteración de documentos con la intención de obstruir un procedimiento gubernamental. Estas disposiciones de SOX se aplican a cualquier persona, incluidas las empresas públicas, las empresas privadas, sus auditore</w:t>
      </w:r>
      <w:r w:rsidRPr="009F3325">
        <w:rPr>
          <w:lang w:val="es-ES_tradnl"/>
        </w:rPr>
        <w:t>s y sus abogados y cualquier otra persona que viole la ley.</w:t>
      </w:r>
    </w:p>
    <w:p w14:paraId="020B7A5C" w14:textId="77777777" w:rsidR="007A4481" w:rsidRPr="009F3325" w:rsidRDefault="007A4481">
      <w:pPr>
        <w:pStyle w:val="Textoindependiente"/>
        <w:spacing w:before="3"/>
        <w:ind w:left="0"/>
        <w:rPr>
          <w:lang w:val="es-ES_tradnl"/>
        </w:rPr>
      </w:pPr>
    </w:p>
    <w:p w14:paraId="0D61C28A" w14:textId="436EF52D" w:rsidR="007A4481" w:rsidRPr="009F3325" w:rsidRDefault="002E5E27">
      <w:pPr>
        <w:pStyle w:val="Textoindependiente"/>
        <w:ind w:right="1389"/>
        <w:rPr>
          <w:lang w:val="es-ES_tradnl"/>
        </w:rPr>
      </w:pPr>
      <w:r w:rsidRPr="009F3325">
        <w:rPr>
          <w:lang w:val="es-ES_tradnl"/>
        </w:rPr>
        <w:t>Para garantizar el cumplimiento de esta política, las áreas de RR. HH., los Servicios de Oficina, de Cumplimiento y de TI, junto con el director jurídico de SEKO, han delegado la supervisión gene</w:t>
      </w:r>
      <w:r w:rsidRPr="009F3325">
        <w:rPr>
          <w:lang w:val="es-ES_tradnl"/>
        </w:rPr>
        <w:t>ral y la responsabilidad de esta política. Las áreas de Recursos Humanos y Cumplimiento coordinarán la educación y capacitación de los empleados y actualizarán periódicamente esta política con la asistencia del director jurídico; TI garantizará el cumplimi</w:t>
      </w:r>
      <w:r w:rsidRPr="009F3325">
        <w:rPr>
          <w:lang w:val="es-ES_tradnl"/>
        </w:rPr>
        <w:t>ento de esta política con respecto a los registros electrónicos; y los Servicios de Oficina garantizará el cumplimiento de esta política con respecto al almacenamiento y recuperación de registros físicos (incluido cualquier almacenamiento, destrucción y re</w:t>
      </w:r>
      <w:r w:rsidRPr="009F3325">
        <w:rPr>
          <w:lang w:val="es-ES_tradnl"/>
        </w:rPr>
        <w:t>cuperación fuera del sitio) y la coordinación de las retenciones de destrucción en circunstancias apropiadas.</w:t>
      </w:r>
    </w:p>
    <w:p w14:paraId="7A70D490" w14:textId="77777777" w:rsidR="007A4481" w:rsidRPr="009F3325" w:rsidRDefault="007A4481">
      <w:pPr>
        <w:pStyle w:val="Textoindependiente"/>
        <w:spacing w:before="10"/>
        <w:ind w:left="0"/>
        <w:rPr>
          <w:sz w:val="23"/>
          <w:lang w:val="es-ES_tradnl"/>
        </w:rPr>
      </w:pPr>
    </w:p>
    <w:p w14:paraId="5597A481" w14:textId="208D8E0F" w:rsidR="007A4481" w:rsidRPr="009F3325" w:rsidRDefault="002E5E27">
      <w:pPr>
        <w:pStyle w:val="Textoindependiente"/>
        <w:ind w:right="1369"/>
        <w:rPr>
          <w:lang w:val="es-ES_tradnl"/>
        </w:rPr>
      </w:pPr>
      <w:r w:rsidRPr="009F3325">
        <w:rPr>
          <w:lang w:val="es-ES_tradnl"/>
        </w:rPr>
        <w:t>SEKO espera que todos los empleados cumplan plenamente con las políticas y plazos de retención o destrucción de registros publicados. Esta políti</w:t>
      </w:r>
      <w:r w:rsidRPr="009F3325">
        <w:rPr>
          <w:lang w:val="es-ES_tradnl"/>
        </w:rPr>
        <w:t>ca se aplica a todos los registros de la Empresa, o copias o extractos o resúmenes de dichos registros, ya sea que se conserven en el sitio, fuera del sitio, en una computadora personal u otro dispositivo, o de otra manera en los archivos comerciales o per</w:t>
      </w:r>
      <w:r w:rsidRPr="009F3325">
        <w:rPr>
          <w:lang w:val="es-ES_tradnl"/>
        </w:rPr>
        <w:t>sonales de los empleados.</w:t>
      </w:r>
    </w:p>
    <w:p w14:paraId="358EBD02" w14:textId="77777777" w:rsidR="007A4481" w:rsidRPr="009F3325" w:rsidRDefault="007A4481">
      <w:pPr>
        <w:pStyle w:val="Textoindependiente"/>
        <w:ind w:left="0"/>
        <w:rPr>
          <w:sz w:val="20"/>
          <w:lang w:val="es-ES_tradnl"/>
        </w:rPr>
      </w:pPr>
    </w:p>
    <w:p w14:paraId="3FF5CEE4" w14:textId="77777777" w:rsidR="007A4481" w:rsidRPr="009F3325" w:rsidRDefault="007A4481">
      <w:pPr>
        <w:pStyle w:val="Textoindependiente"/>
        <w:ind w:left="0"/>
        <w:rPr>
          <w:sz w:val="20"/>
          <w:lang w:val="es-ES_tradnl"/>
        </w:rPr>
      </w:pPr>
    </w:p>
    <w:p w14:paraId="540EE083" w14:textId="77777777" w:rsidR="007A4481" w:rsidRPr="009F3325" w:rsidRDefault="007A4481">
      <w:pPr>
        <w:pStyle w:val="Textoindependiente"/>
        <w:ind w:left="0"/>
        <w:rPr>
          <w:sz w:val="20"/>
          <w:lang w:val="es-ES_tradnl"/>
        </w:rPr>
      </w:pPr>
    </w:p>
    <w:p w14:paraId="59C7D9B4" w14:textId="77777777" w:rsidR="007A4481" w:rsidRPr="009F3325" w:rsidRDefault="007A4481">
      <w:pPr>
        <w:pStyle w:val="Textoindependiente"/>
        <w:ind w:left="0"/>
        <w:rPr>
          <w:sz w:val="20"/>
          <w:lang w:val="es-ES_tradnl"/>
        </w:rPr>
      </w:pPr>
    </w:p>
    <w:p w14:paraId="62F7BF9B" w14:textId="77777777" w:rsidR="007A4481" w:rsidRPr="009F3325" w:rsidRDefault="007A4481">
      <w:pPr>
        <w:pStyle w:val="Textoindependiente"/>
        <w:ind w:left="0"/>
        <w:rPr>
          <w:sz w:val="20"/>
          <w:lang w:val="es-ES_tradnl"/>
        </w:rPr>
      </w:pPr>
    </w:p>
    <w:p w14:paraId="557E88C1" w14:textId="77777777" w:rsidR="007A4481" w:rsidRPr="009F3325" w:rsidRDefault="007A4481">
      <w:pPr>
        <w:pStyle w:val="Textoindependiente"/>
        <w:spacing w:before="3"/>
        <w:ind w:left="0"/>
        <w:rPr>
          <w:sz w:val="23"/>
          <w:lang w:val="es-ES_tradnl"/>
        </w:rPr>
      </w:pPr>
    </w:p>
    <w:p w14:paraId="72514015" w14:textId="718FA612" w:rsidR="007A4481" w:rsidRDefault="002E5E27">
      <w:pPr>
        <w:pStyle w:val="Textoindependiente"/>
        <w:ind w:right="1670"/>
        <w:jc w:val="both"/>
        <w:rPr>
          <w:lang w:val="es-ES_tradnl"/>
        </w:rPr>
      </w:pPr>
      <w:r w:rsidRPr="009F3325">
        <w:rPr>
          <w:lang w:val="es-ES_tradnl"/>
        </w:rPr>
        <w:t xml:space="preserve">La Ley Sarbanes-Oxley 1 de 2002 estableció amplios requisitos de certificación y control que requieren una intensa documentación y retención de registros (secciones 302 y 404) y penalizan la destrucción de documentos con la </w:t>
      </w:r>
      <w:r w:rsidRPr="009F3325">
        <w:rPr>
          <w:lang w:val="es-ES_tradnl"/>
        </w:rPr>
        <w:t>intención de obstruir los procedimientos oficiales.</w:t>
      </w:r>
    </w:p>
    <w:p w14:paraId="57DF69EF" w14:textId="77777777" w:rsidR="009F3325" w:rsidRDefault="009F3325">
      <w:pPr>
        <w:pStyle w:val="Textoindependiente"/>
        <w:ind w:right="1670"/>
        <w:jc w:val="both"/>
        <w:rPr>
          <w:lang w:val="es-ES_tradnl"/>
        </w:rPr>
      </w:pPr>
    </w:p>
    <w:p w14:paraId="30EFDF79" w14:textId="77777777" w:rsidR="009F3325" w:rsidRDefault="009F3325">
      <w:pPr>
        <w:pStyle w:val="Textoindependiente"/>
        <w:ind w:right="1670"/>
        <w:jc w:val="both"/>
        <w:rPr>
          <w:lang w:val="es-ES_tradnl"/>
        </w:rPr>
      </w:pPr>
    </w:p>
    <w:p w14:paraId="521ADEFE" w14:textId="528CE7D0" w:rsidR="007A4481" w:rsidRPr="009F3325" w:rsidRDefault="009F3325" w:rsidP="009F3325">
      <w:pPr>
        <w:pStyle w:val="Textoindependiente"/>
        <w:ind w:right="1670"/>
        <w:jc w:val="both"/>
        <w:rPr>
          <w:lang w:val="es-ES_tradnl"/>
        </w:rPr>
      </w:pPr>
      <w:r w:rsidRPr="009F3325">
        <w:rPr>
          <w:lang w:val="es-ES_tradnl"/>
        </w:rPr>
        <w:t>Esta política cubre todos los registros y documentos, independientemente de su forma física, contiene pautas</w:t>
      </w:r>
      <w:r>
        <w:rPr>
          <w:lang w:val="es-ES_tradnl"/>
        </w:rPr>
        <w:t xml:space="preserve"> </w:t>
      </w:r>
      <w:r w:rsidR="002E5E27" w:rsidRPr="009F3325">
        <w:rPr>
          <w:lang w:val="es-ES_tradnl"/>
        </w:rPr>
        <w:t>sobre cuánto tiempo se deben mantener ciertos documentos y cómo se deben destruir los registros. La política está diseñada para garantizar el cumplimiento de las leyes y regulaciones federales</w:t>
      </w:r>
      <w:r w:rsidR="002E5E27" w:rsidRPr="009F3325">
        <w:rPr>
          <w:lang w:val="es-ES_tradnl"/>
        </w:rPr>
        <w:t xml:space="preserve"> y estatales, para eliminar la destrucción accidental o inocente de los registros y para facilitar las operaciones de SEKO mediante la promoción de la eficiencia y la liberación de un valioso espacio de almacenamiento.</w:t>
      </w:r>
    </w:p>
    <w:p w14:paraId="6BE9926F" w14:textId="77777777" w:rsidR="007A4481" w:rsidRPr="009F3325" w:rsidRDefault="007A4481">
      <w:pPr>
        <w:pStyle w:val="Textoindependiente"/>
        <w:spacing w:before="10"/>
        <w:ind w:left="0"/>
        <w:rPr>
          <w:sz w:val="23"/>
          <w:lang w:val="es-ES_tradnl"/>
        </w:rPr>
      </w:pPr>
    </w:p>
    <w:p w14:paraId="7AA39632" w14:textId="54CD6BAF" w:rsidR="007A4481" w:rsidRPr="009F3325" w:rsidRDefault="002E5E27">
      <w:pPr>
        <w:spacing w:after="6"/>
        <w:ind w:left="540"/>
        <w:rPr>
          <w:b/>
          <w:sz w:val="24"/>
          <w:lang w:val="es-ES_tradnl"/>
        </w:rPr>
      </w:pPr>
      <w:r w:rsidRPr="009F3325">
        <w:rPr>
          <w:b/>
          <w:bCs/>
          <w:sz w:val="24"/>
          <w:lang w:val="es-ES_tradnl"/>
        </w:rPr>
        <w:t>Hay tres tipos de registros de la Em</w:t>
      </w:r>
      <w:r w:rsidRPr="009F3325">
        <w:rPr>
          <w:b/>
          <w:bCs/>
          <w:sz w:val="24"/>
          <w:lang w:val="es-ES_tradnl"/>
        </w:rPr>
        <w:t>presa: Temporales, finales y permanentes</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6248"/>
        <w:gridCol w:w="2070"/>
      </w:tblGrid>
      <w:tr w:rsidR="007A4481" w:rsidRPr="009F3325" w14:paraId="51195FFE" w14:textId="77777777" w:rsidTr="00C26E34">
        <w:trPr>
          <w:trHeight w:val="277"/>
        </w:trPr>
        <w:tc>
          <w:tcPr>
            <w:tcW w:w="1710" w:type="dxa"/>
          </w:tcPr>
          <w:p w14:paraId="70C5EF54" w14:textId="77777777" w:rsidR="007A4481" w:rsidRPr="009F3325" w:rsidRDefault="002E5E27">
            <w:pPr>
              <w:pStyle w:val="TableParagraph"/>
              <w:spacing w:line="258" w:lineRule="exact"/>
              <w:ind w:left="107"/>
              <w:rPr>
                <w:b/>
                <w:sz w:val="24"/>
                <w:lang w:val="es-ES_tradnl"/>
              </w:rPr>
            </w:pPr>
            <w:r w:rsidRPr="009F3325">
              <w:rPr>
                <w:b/>
                <w:bCs/>
                <w:sz w:val="24"/>
                <w:lang w:val="es-ES_tradnl"/>
              </w:rPr>
              <w:t>Tipo de registro</w:t>
            </w:r>
          </w:p>
        </w:tc>
        <w:tc>
          <w:tcPr>
            <w:tcW w:w="6248" w:type="dxa"/>
          </w:tcPr>
          <w:p w14:paraId="747B4A65" w14:textId="77777777" w:rsidR="007A4481" w:rsidRPr="009F3325" w:rsidRDefault="002E5E27">
            <w:pPr>
              <w:pStyle w:val="TableParagraph"/>
              <w:spacing w:line="258" w:lineRule="exact"/>
              <w:ind w:left="107"/>
              <w:rPr>
                <w:b/>
                <w:sz w:val="24"/>
                <w:lang w:val="es-ES_tradnl"/>
              </w:rPr>
            </w:pPr>
            <w:r w:rsidRPr="009F3325">
              <w:rPr>
                <w:b/>
                <w:bCs/>
                <w:sz w:val="24"/>
                <w:lang w:val="es-ES_tradnl"/>
              </w:rPr>
              <w:t>Definición</w:t>
            </w:r>
          </w:p>
        </w:tc>
        <w:tc>
          <w:tcPr>
            <w:tcW w:w="2070" w:type="dxa"/>
          </w:tcPr>
          <w:p w14:paraId="38E1FFA6" w14:textId="77777777" w:rsidR="007A4481" w:rsidRPr="009F3325" w:rsidRDefault="002E5E27">
            <w:pPr>
              <w:pStyle w:val="TableParagraph"/>
              <w:spacing w:line="258" w:lineRule="exact"/>
              <w:ind w:left="106"/>
              <w:rPr>
                <w:b/>
                <w:sz w:val="24"/>
                <w:lang w:val="es-ES_tradnl"/>
              </w:rPr>
            </w:pPr>
            <w:r w:rsidRPr="009F3325">
              <w:rPr>
                <w:b/>
                <w:bCs/>
                <w:sz w:val="24"/>
                <w:lang w:val="es-ES_tradnl"/>
              </w:rPr>
              <w:t>Retención</w:t>
            </w:r>
          </w:p>
        </w:tc>
      </w:tr>
      <w:tr w:rsidR="007A4481" w:rsidRPr="009F3325" w14:paraId="503CAD03" w14:textId="77777777" w:rsidTr="00C26E34">
        <w:trPr>
          <w:trHeight w:val="1656"/>
        </w:trPr>
        <w:tc>
          <w:tcPr>
            <w:tcW w:w="1710" w:type="dxa"/>
            <w:vAlign w:val="center"/>
          </w:tcPr>
          <w:p w14:paraId="3B43DD07" w14:textId="77777777" w:rsidR="007A4481" w:rsidRPr="009F3325" w:rsidRDefault="002E5E27" w:rsidP="00C26E34">
            <w:pPr>
              <w:pStyle w:val="TableParagraph"/>
              <w:spacing w:line="237" w:lineRule="auto"/>
              <w:ind w:left="107" w:right="412"/>
              <w:rPr>
                <w:b/>
                <w:sz w:val="24"/>
                <w:lang w:val="es-ES_tradnl"/>
              </w:rPr>
            </w:pPr>
            <w:r w:rsidRPr="009F3325">
              <w:rPr>
                <w:b/>
                <w:bCs/>
                <w:sz w:val="24"/>
                <w:lang w:val="es-ES_tradnl"/>
              </w:rPr>
              <w:t>Registros temporales</w:t>
            </w:r>
          </w:p>
        </w:tc>
        <w:tc>
          <w:tcPr>
            <w:tcW w:w="6248" w:type="dxa"/>
            <w:vAlign w:val="center"/>
          </w:tcPr>
          <w:p w14:paraId="05924AB5" w14:textId="41EB58C2" w:rsidR="007A4481" w:rsidRPr="009F3325" w:rsidRDefault="002E5E27" w:rsidP="00C26E34">
            <w:pPr>
              <w:pStyle w:val="TableParagraph"/>
              <w:ind w:left="107" w:right="175"/>
              <w:rPr>
                <w:sz w:val="24"/>
                <w:lang w:val="es-ES_tradnl"/>
              </w:rPr>
            </w:pPr>
            <w:r w:rsidRPr="009F3325">
              <w:rPr>
                <w:sz w:val="24"/>
                <w:lang w:val="es-ES_tradnl"/>
              </w:rPr>
              <w:t>Los Registros temporales incluyen todos los documentos comerciales que están destinados a ser reemplazados por Registros finales o Registros permanentes, o</w:t>
            </w:r>
            <w:r w:rsidRPr="009F3325">
              <w:rPr>
                <w:sz w:val="24"/>
                <w:lang w:val="es-ES_tradnl"/>
              </w:rPr>
              <w:t xml:space="preserve"> que están destinados a ser utilizados solo por un período de tiempo limitado, incluidos, entre otros, memorandos escritos y dictados que se escribirán en el futuro, recordatorios, listas de tareas, informes, borradores y correspondencia entre oficinas con</w:t>
            </w:r>
            <w:r w:rsidRPr="009F3325">
              <w:rPr>
                <w:sz w:val="24"/>
                <w:lang w:val="es-ES_tradnl"/>
              </w:rPr>
              <w:t xml:space="preserve"> respecto a un cliente o transacción comercial.</w:t>
            </w:r>
          </w:p>
        </w:tc>
        <w:tc>
          <w:tcPr>
            <w:tcW w:w="2070" w:type="dxa"/>
            <w:vAlign w:val="center"/>
          </w:tcPr>
          <w:p w14:paraId="7896E784" w14:textId="7CB8EAAE" w:rsidR="007A4481" w:rsidRPr="009F3325" w:rsidRDefault="002E5E27" w:rsidP="00C26E34">
            <w:pPr>
              <w:pStyle w:val="TableParagraph"/>
              <w:ind w:left="106" w:right="111"/>
              <w:rPr>
                <w:sz w:val="24"/>
                <w:lang w:val="es-ES_tradnl"/>
              </w:rPr>
            </w:pPr>
            <w:r w:rsidRPr="009F3325">
              <w:rPr>
                <w:sz w:val="24"/>
                <w:lang w:val="es-ES_tradnl"/>
              </w:rPr>
              <w:t>Los registros temporales se pueden destruir o eliminar de forma permanente si ya no son necesarios.</w:t>
            </w:r>
          </w:p>
        </w:tc>
      </w:tr>
      <w:tr w:rsidR="007A4481" w:rsidRPr="009F3325" w14:paraId="39974215" w14:textId="77777777" w:rsidTr="00C26E34">
        <w:trPr>
          <w:trHeight w:val="1929"/>
        </w:trPr>
        <w:tc>
          <w:tcPr>
            <w:tcW w:w="1710" w:type="dxa"/>
            <w:vAlign w:val="center"/>
          </w:tcPr>
          <w:p w14:paraId="3D20B4A5" w14:textId="77777777" w:rsidR="007A4481" w:rsidRPr="009F3325" w:rsidRDefault="002E5E27" w:rsidP="00C26E34">
            <w:pPr>
              <w:pStyle w:val="TableParagraph"/>
              <w:spacing w:before="224"/>
              <w:ind w:left="107"/>
              <w:rPr>
                <w:b/>
                <w:sz w:val="24"/>
                <w:lang w:val="es-ES_tradnl"/>
              </w:rPr>
            </w:pPr>
            <w:r w:rsidRPr="009F3325">
              <w:rPr>
                <w:b/>
                <w:bCs/>
                <w:sz w:val="24"/>
                <w:lang w:val="es-ES_tradnl"/>
              </w:rPr>
              <w:t>Registros finales</w:t>
            </w:r>
          </w:p>
        </w:tc>
        <w:tc>
          <w:tcPr>
            <w:tcW w:w="6248" w:type="dxa"/>
            <w:vAlign w:val="center"/>
          </w:tcPr>
          <w:p w14:paraId="7C2E9A13" w14:textId="4B457A4A" w:rsidR="007A4481" w:rsidRPr="009F3325" w:rsidRDefault="002E5E27" w:rsidP="00C26E34">
            <w:pPr>
              <w:pStyle w:val="TableParagraph"/>
              <w:ind w:left="107"/>
              <w:rPr>
                <w:sz w:val="24"/>
                <w:lang w:val="es-ES_tradnl"/>
              </w:rPr>
            </w:pPr>
            <w:r w:rsidRPr="009F3325">
              <w:rPr>
                <w:sz w:val="24"/>
                <w:lang w:val="es-ES_tradnl"/>
              </w:rPr>
              <w:t xml:space="preserve">Los Registros finales incluyen todos los documentos comerciales que no son reemplazados </w:t>
            </w:r>
            <w:r w:rsidRPr="009F3325">
              <w:rPr>
                <w:sz w:val="24"/>
                <w:lang w:val="es-ES_tradnl"/>
              </w:rPr>
              <w:t>por modificaciones o adiciones, incluidos, entre otros, los documentos entregados (o enviados a través de un formulario electrónico) a cualquier tercero no empleado por la Empresa, o a cualquier agencia gubernamental; memorandos e informes finales; corresp</w:t>
            </w:r>
            <w:r w:rsidRPr="009F3325">
              <w:rPr>
                <w:sz w:val="24"/>
                <w:lang w:val="es-ES_tradnl"/>
              </w:rPr>
              <w:t>ondencia; memorandos telefónicos escritos a mano no transcritos; actas; especificaciones; entradas de diario; estimaciones de costos; etc.</w:t>
            </w:r>
          </w:p>
        </w:tc>
        <w:tc>
          <w:tcPr>
            <w:tcW w:w="2070" w:type="dxa"/>
            <w:vAlign w:val="center"/>
          </w:tcPr>
          <w:p w14:paraId="16439426" w14:textId="43713815" w:rsidR="007A4481" w:rsidRPr="009F3325" w:rsidRDefault="002E5E27" w:rsidP="00C26E34">
            <w:pPr>
              <w:pStyle w:val="TableParagraph"/>
              <w:ind w:left="106" w:right="161"/>
              <w:rPr>
                <w:sz w:val="24"/>
                <w:lang w:val="es-ES_tradnl"/>
              </w:rPr>
            </w:pPr>
            <w:r w:rsidRPr="009F3325">
              <w:rPr>
                <w:sz w:val="24"/>
                <w:lang w:val="es-ES_tradnl"/>
              </w:rPr>
              <w:t>Todos los registros finales deben descartarse de conformidad con el Plazo de retención de documentos adjunto.</w:t>
            </w:r>
          </w:p>
        </w:tc>
      </w:tr>
      <w:tr w:rsidR="007A4481" w:rsidRPr="009F3325" w14:paraId="1EC8F283" w14:textId="77777777" w:rsidTr="00C26E34">
        <w:trPr>
          <w:trHeight w:val="2486"/>
        </w:trPr>
        <w:tc>
          <w:tcPr>
            <w:tcW w:w="1710" w:type="dxa"/>
            <w:vAlign w:val="center"/>
          </w:tcPr>
          <w:p w14:paraId="154F71B2" w14:textId="77777777" w:rsidR="007A4481" w:rsidRPr="009F3325" w:rsidRDefault="002E5E27" w:rsidP="00C26E34">
            <w:pPr>
              <w:pStyle w:val="TableParagraph"/>
              <w:ind w:left="107"/>
              <w:rPr>
                <w:b/>
                <w:sz w:val="24"/>
                <w:lang w:val="es-ES_tradnl"/>
              </w:rPr>
            </w:pPr>
            <w:r w:rsidRPr="009F3325">
              <w:rPr>
                <w:b/>
                <w:bCs/>
                <w:sz w:val="24"/>
                <w:lang w:val="es-ES_tradnl"/>
              </w:rPr>
              <w:t>Registros permanentes</w:t>
            </w:r>
          </w:p>
        </w:tc>
        <w:tc>
          <w:tcPr>
            <w:tcW w:w="6248" w:type="dxa"/>
            <w:vAlign w:val="center"/>
          </w:tcPr>
          <w:p w14:paraId="01A36D4C" w14:textId="21FCC8A8" w:rsidR="007A4481" w:rsidRPr="009F3325" w:rsidRDefault="002E5E27" w:rsidP="00C26E34">
            <w:pPr>
              <w:pStyle w:val="TableParagraph"/>
              <w:ind w:left="107"/>
              <w:rPr>
                <w:sz w:val="24"/>
                <w:lang w:val="es-ES_tradnl"/>
              </w:rPr>
            </w:pPr>
            <w:r w:rsidRPr="009F3325">
              <w:rPr>
                <w:sz w:val="24"/>
                <w:lang w:val="es-ES_tradnl"/>
              </w:rPr>
              <w:t>Los Registros permanentes incluyen todos los documentos comerciales que definen el alcance del trabajo de la Empresa, expresiones de opiniones profesionales, investigación y materiales de referencia. Estos incluyen, entre otros, contr</w:t>
            </w:r>
            <w:r w:rsidRPr="009F3325">
              <w:rPr>
                <w:sz w:val="24"/>
                <w:lang w:val="es-ES_tradnl"/>
              </w:rPr>
              <w:t>atos, propuestas, materiales que hacen referencia a opiniones de expertos, estados financieros, declaraciones de impuestos, registros de nóminas, registros de derechos de autor y marcas comerciales, patentes y otros documentos relacionados con los derechos</w:t>
            </w:r>
            <w:r w:rsidRPr="009F3325">
              <w:rPr>
                <w:sz w:val="24"/>
                <w:lang w:val="es-ES_tradnl"/>
              </w:rPr>
              <w:t xml:space="preserve"> de propiedad intelectual, informes ambientales, registros inmobiliarios y actas formales de reuniones. Dichos registros pueden estar en papel o en formato electrónico.</w:t>
            </w:r>
          </w:p>
        </w:tc>
        <w:tc>
          <w:tcPr>
            <w:tcW w:w="2070" w:type="dxa"/>
            <w:vAlign w:val="center"/>
          </w:tcPr>
          <w:p w14:paraId="771FECB6" w14:textId="77777777" w:rsidR="007A4481" w:rsidRPr="009F3325" w:rsidRDefault="002E5E27" w:rsidP="00C26E34">
            <w:pPr>
              <w:pStyle w:val="TableParagraph"/>
              <w:ind w:left="106" w:right="153"/>
              <w:rPr>
                <w:sz w:val="24"/>
                <w:lang w:val="es-ES_tradnl"/>
              </w:rPr>
            </w:pPr>
            <w:r w:rsidRPr="009F3325">
              <w:rPr>
                <w:sz w:val="24"/>
                <w:lang w:val="es-ES_tradnl"/>
              </w:rPr>
              <w:t>Todos los documentos permanentes deben conservarse indefinidamente.</w:t>
            </w:r>
          </w:p>
        </w:tc>
      </w:tr>
    </w:tbl>
    <w:p w14:paraId="1E0C50C0" w14:textId="77777777" w:rsidR="007A4481" w:rsidRPr="009F3325" w:rsidRDefault="007A4481">
      <w:pPr>
        <w:pStyle w:val="Textoindependiente"/>
        <w:ind w:left="0"/>
        <w:rPr>
          <w:b/>
          <w:sz w:val="26"/>
          <w:lang w:val="es-ES_tradnl"/>
        </w:rPr>
      </w:pPr>
    </w:p>
    <w:p w14:paraId="5982A253" w14:textId="200CC056" w:rsidR="007A4481" w:rsidRPr="009F3325" w:rsidRDefault="002E5E27">
      <w:pPr>
        <w:pStyle w:val="Prrafodelista"/>
        <w:numPr>
          <w:ilvl w:val="0"/>
          <w:numId w:val="1"/>
        </w:numPr>
        <w:tabs>
          <w:tab w:val="left" w:pos="848"/>
        </w:tabs>
        <w:spacing w:before="160"/>
        <w:ind w:left="847" w:hanging="308"/>
        <w:jc w:val="both"/>
        <w:rPr>
          <w:b/>
          <w:sz w:val="24"/>
          <w:lang w:val="es-ES_tradnl"/>
        </w:rPr>
      </w:pPr>
      <w:r w:rsidRPr="009F3325">
        <w:rPr>
          <w:b/>
          <w:bCs/>
          <w:sz w:val="24"/>
          <w:lang w:val="es-ES_tradnl"/>
        </w:rPr>
        <w:lastRenderedPageBreak/>
        <w:t xml:space="preserve">Períodos de </w:t>
      </w:r>
      <w:r w:rsidRPr="009F3325">
        <w:rPr>
          <w:b/>
          <w:bCs/>
          <w:sz w:val="24"/>
          <w:lang w:val="es-ES_tradnl"/>
        </w:rPr>
        <w:t>retención y de ahorro de documentos en general</w:t>
      </w:r>
    </w:p>
    <w:p w14:paraId="039A3C6C" w14:textId="6F3027C0" w:rsidR="007A4481" w:rsidRPr="009F3325" w:rsidRDefault="002E5E27">
      <w:pPr>
        <w:pStyle w:val="Textoindependiente"/>
        <w:spacing w:before="22" w:line="259" w:lineRule="auto"/>
        <w:ind w:right="1534"/>
        <w:jc w:val="both"/>
        <w:rPr>
          <w:lang w:val="es-ES_tradnl"/>
        </w:rPr>
      </w:pPr>
      <w:r w:rsidRPr="009F3325">
        <w:rPr>
          <w:lang w:val="es-ES_tradnl"/>
        </w:rPr>
        <w:t>Los empleados de la Empresa no deben almacenar ningún Registro final o permanente en los discos duros locales de sus computadoras asignadas por la Empresa, ni ningún registro en computadoras o unidades portáti</w:t>
      </w:r>
      <w:r w:rsidRPr="009F3325">
        <w:rPr>
          <w:lang w:val="es-ES_tradnl"/>
        </w:rPr>
        <w:t>les que no sean de la Empresa. Los registros solo deben guardarse en las plataformas de software de la Empresa (según corresponda) y en las unidades compartidas.</w:t>
      </w:r>
    </w:p>
    <w:p w14:paraId="4F0CAEC9" w14:textId="77777777" w:rsidR="007A4481" w:rsidRPr="009F3325" w:rsidRDefault="002E5E27">
      <w:pPr>
        <w:pStyle w:val="Textoindependiente"/>
        <w:spacing w:before="161" w:line="259" w:lineRule="auto"/>
        <w:ind w:right="1461"/>
        <w:jc w:val="both"/>
        <w:rPr>
          <w:lang w:val="es-ES_tradnl"/>
        </w:rPr>
      </w:pPr>
      <w:r w:rsidRPr="009F3325">
        <w:rPr>
          <w:lang w:val="es-ES_tradnl"/>
        </w:rPr>
        <w:t xml:space="preserve">SEKO sigue los procedimientos de retención de documentos que se describen a continuación. Los </w:t>
      </w:r>
      <w:r w:rsidRPr="009F3325">
        <w:rPr>
          <w:lang w:val="es-ES_tradnl"/>
        </w:rPr>
        <w:t>documentos que no se enumeran, pero que son sustancialmente similares a los enumerados en el programa, deben conservarse durante el tiempo adecuado.</w:t>
      </w:r>
    </w:p>
    <w:p w14:paraId="19D681AA" w14:textId="4CFD65F4" w:rsidR="007A4481" w:rsidRPr="009F3325" w:rsidRDefault="002E5E27" w:rsidP="002A1B09">
      <w:pPr>
        <w:pStyle w:val="Textoindependiente"/>
        <w:spacing w:before="153"/>
        <w:ind w:right="1369"/>
        <w:rPr>
          <w:lang w:val="es-ES_tradnl"/>
        </w:rPr>
        <w:sectPr w:rsidR="007A4481" w:rsidRPr="009F3325">
          <w:headerReference w:type="default" r:id="rId8"/>
          <w:pgSz w:w="12240" w:h="15840"/>
          <w:pgMar w:top="1980" w:right="60" w:bottom="280" w:left="900" w:header="667" w:footer="0" w:gutter="0"/>
          <w:cols w:space="720"/>
        </w:sectPr>
      </w:pPr>
      <w:r w:rsidRPr="009F3325">
        <w:rPr>
          <w:lang w:val="es-ES_tradnl"/>
        </w:rPr>
        <w:t xml:space="preserve">Nota: Las empresas reguladas específicas están sujetas a requisitos específicos adicionales, y las leyes y </w:t>
      </w:r>
      <w:r w:rsidRPr="009F3325">
        <w:rPr>
          <w:lang w:val="es-ES_tradnl"/>
        </w:rPr>
        <w:t>reglamentos extranjeros, estatales y locales imponen requisitos específicos adicionales, como la Directiva sobre la privacidad de la UE. Los estatutos de limitaciones relevantes en países extranjeros variarán de los que</w:t>
      </w:r>
      <w:r w:rsidR="002A1B09">
        <w:rPr>
          <w:lang w:val="es-ES_tradnl"/>
        </w:rPr>
        <w:t xml:space="preserve"> </w:t>
      </w:r>
      <w:r w:rsidR="002A1B09" w:rsidRPr="002A1B09">
        <w:rPr>
          <w:lang w:val="es-ES_tradnl"/>
        </w:rPr>
        <w:t xml:space="preserve">estén en efecto en los EE. UU. Debe hacerse referencia al Manual de cumplimiento de SEKO, ya que especifica más los requisitos de retención de registros para SEKO </w:t>
      </w:r>
      <w:proofErr w:type="spellStart"/>
      <w:r w:rsidR="002A1B09" w:rsidRPr="002A1B09">
        <w:rPr>
          <w:lang w:val="es-ES_tradnl"/>
        </w:rPr>
        <w:t>Customs</w:t>
      </w:r>
      <w:proofErr w:type="spellEnd"/>
      <w:r w:rsidR="002A1B09" w:rsidRPr="002A1B09">
        <w:rPr>
          <w:lang w:val="es-ES_tradnl"/>
        </w:rPr>
        <w:t xml:space="preserve"> </w:t>
      </w:r>
      <w:proofErr w:type="spellStart"/>
      <w:r w:rsidR="002A1B09" w:rsidRPr="002A1B09">
        <w:rPr>
          <w:lang w:val="es-ES_tradnl"/>
        </w:rPr>
        <w:t>Brokerage</w:t>
      </w:r>
      <w:proofErr w:type="spellEnd"/>
      <w:r w:rsidR="002A1B09" w:rsidRPr="002A1B09">
        <w:rPr>
          <w:lang w:val="es-ES_tradnl"/>
        </w:rPr>
        <w:t xml:space="preserve"> Inc.</w:t>
      </w:r>
    </w:p>
    <w:p w14:paraId="5539255B" w14:textId="77777777" w:rsidR="007A4481" w:rsidRPr="009F3325" w:rsidRDefault="007A4481">
      <w:pPr>
        <w:pStyle w:val="Textoindependiente"/>
        <w:spacing w:before="2"/>
        <w:ind w:left="0"/>
        <w:rPr>
          <w:sz w:val="16"/>
          <w:lang w:val="es-ES_tradnl"/>
        </w:rPr>
      </w:pPr>
    </w:p>
    <w:p w14:paraId="0C5B02A8" w14:textId="1CDA172F" w:rsidR="007A4481" w:rsidRPr="009F3325" w:rsidRDefault="002E5E27">
      <w:pPr>
        <w:pStyle w:val="Prrafodelista"/>
        <w:numPr>
          <w:ilvl w:val="0"/>
          <w:numId w:val="1"/>
        </w:numPr>
        <w:tabs>
          <w:tab w:val="left" w:pos="939"/>
        </w:tabs>
        <w:spacing w:before="90"/>
        <w:ind w:left="938" w:hanging="399"/>
        <w:rPr>
          <w:b/>
          <w:sz w:val="24"/>
          <w:lang w:val="es-ES_tradnl"/>
        </w:rPr>
      </w:pPr>
      <w:r w:rsidRPr="009F3325">
        <w:rPr>
          <w:b/>
          <w:bCs/>
          <w:sz w:val="24"/>
          <w:lang w:val="es-ES_tradnl"/>
        </w:rPr>
        <w:t>Plazo global de retención de documentos</w:t>
      </w:r>
    </w:p>
    <w:tbl>
      <w:tblPr>
        <w:tblW w:w="9360" w:type="dxa"/>
        <w:tblInd w:w="675" w:type="dxa"/>
        <w:tblLook w:val="04A0" w:firstRow="1" w:lastRow="0" w:firstColumn="1" w:lastColumn="0" w:noHBand="0" w:noVBand="1"/>
      </w:tblPr>
      <w:tblGrid>
        <w:gridCol w:w="7297"/>
        <w:gridCol w:w="2063"/>
      </w:tblGrid>
      <w:tr w:rsidR="00C26E34" w:rsidRPr="009F3325" w14:paraId="64061ADB" w14:textId="77777777" w:rsidTr="00C26E34">
        <w:trPr>
          <w:trHeight w:val="20"/>
        </w:trPr>
        <w:tc>
          <w:tcPr>
            <w:tcW w:w="7297" w:type="dxa"/>
            <w:tcBorders>
              <w:top w:val="nil"/>
              <w:left w:val="nil"/>
              <w:bottom w:val="nil"/>
              <w:right w:val="nil"/>
            </w:tcBorders>
            <w:shd w:val="clear" w:color="auto" w:fill="auto"/>
            <w:noWrap/>
            <w:vAlign w:val="center"/>
            <w:hideMark/>
          </w:tcPr>
          <w:p w14:paraId="1F694040" w14:textId="1EF6D807" w:rsidR="00C26E34" w:rsidRPr="009F3325" w:rsidRDefault="00C26E34" w:rsidP="00C26E34">
            <w:pPr>
              <w:widowControl/>
              <w:autoSpaceDE/>
              <w:autoSpaceDN/>
              <w:ind w:leftChars="-49" w:left="24" w:hangingChars="60" w:hanging="132"/>
              <w:rPr>
                <w:lang w:val="es-ES_tradnl"/>
              </w:rPr>
            </w:pPr>
            <w:r w:rsidRPr="009F3325">
              <w:rPr>
                <w:lang w:val="es-ES_tradnl"/>
              </w:rPr>
              <w:t>Registros contables y de impuestos corporativos</w:t>
            </w:r>
          </w:p>
        </w:tc>
        <w:tc>
          <w:tcPr>
            <w:tcW w:w="2063" w:type="dxa"/>
            <w:tcBorders>
              <w:top w:val="nil"/>
              <w:left w:val="nil"/>
              <w:bottom w:val="nil"/>
              <w:right w:val="nil"/>
            </w:tcBorders>
            <w:shd w:val="clear" w:color="auto" w:fill="auto"/>
            <w:noWrap/>
            <w:vAlign w:val="bottom"/>
            <w:hideMark/>
          </w:tcPr>
          <w:p w14:paraId="23D2AB66" w14:textId="77777777" w:rsidR="00C26E34" w:rsidRPr="009F3325" w:rsidRDefault="00C26E34" w:rsidP="00C26E34">
            <w:pPr>
              <w:widowControl/>
              <w:autoSpaceDE/>
              <w:autoSpaceDN/>
              <w:ind w:firstLineChars="600" w:firstLine="1320"/>
              <w:rPr>
                <w:lang w:val="es-ES_tradnl"/>
              </w:rPr>
            </w:pPr>
          </w:p>
        </w:tc>
      </w:tr>
      <w:tr w:rsidR="00C26E34" w:rsidRPr="009F3325" w14:paraId="0337336F" w14:textId="77777777" w:rsidTr="00C26E34">
        <w:trPr>
          <w:trHeight w:val="20"/>
        </w:trPr>
        <w:tc>
          <w:tcPr>
            <w:tcW w:w="7297" w:type="dxa"/>
            <w:tcBorders>
              <w:top w:val="nil"/>
              <w:left w:val="nil"/>
              <w:bottom w:val="nil"/>
              <w:right w:val="nil"/>
            </w:tcBorders>
            <w:shd w:val="clear" w:color="auto" w:fill="auto"/>
            <w:noWrap/>
            <w:vAlign w:val="center"/>
            <w:hideMark/>
          </w:tcPr>
          <w:p w14:paraId="5941233E" w14:textId="30C812FD" w:rsidR="00C26E34" w:rsidRPr="009F3325" w:rsidRDefault="00C26E34" w:rsidP="00C26E34">
            <w:pPr>
              <w:widowControl/>
              <w:autoSpaceDE/>
              <w:autoSpaceDN/>
              <w:ind w:leftChars="-49" w:left="24" w:hangingChars="60" w:hanging="132"/>
              <w:rPr>
                <w:lang w:val="es-ES_tradnl"/>
              </w:rPr>
            </w:pPr>
            <w:r w:rsidRPr="009F3325">
              <w:rPr>
                <w:lang w:val="es-ES_tradnl"/>
              </w:rPr>
              <w:t>Auditorías anuales</w:t>
            </w:r>
          </w:p>
        </w:tc>
        <w:tc>
          <w:tcPr>
            <w:tcW w:w="2063" w:type="dxa"/>
            <w:tcBorders>
              <w:top w:val="nil"/>
              <w:left w:val="nil"/>
              <w:bottom w:val="nil"/>
              <w:right w:val="nil"/>
            </w:tcBorders>
            <w:shd w:val="clear" w:color="auto" w:fill="auto"/>
            <w:noWrap/>
            <w:vAlign w:val="center"/>
            <w:hideMark/>
          </w:tcPr>
          <w:p w14:paraId="32F1D9A4" w14:textId="068D32C7" w:rsidR="00C26E34" w:rsidRPr="009F3325" w:rsidRDefault="00C26E34" w:rsidP="00C26E34">
            <w:pPr>
              <w:widowControl/>
              <w:autoSpaceDE/>
              <w:autoSpaceDN/>
              <w:ind w:firstLineChars="300" w:firstLine="660"/>
              <w:rPr>
                <w:lang w:val="es-ES_tradnl"/>
              </w:rPr>
            </w:pPr>
            <w:r w:rsidRPr="009F3325">
              <w:rPr>
                <w:lang w:val="es-ES_tradnl"/>
              </w:rPr>
              <w:t>Indefinido</w:t>
            </w:r>
          </w:p>
        </w:tc>
      </w:tr>
      <w:tr w:rsidR="00C26E34" w:rsidRPr="009F3325" w14:paraId="40B78E24" w14:textId="77777777" w:rsidTr="00C26E34">
        <w:trPr>
          <w:trHeight w:val="20"/>
        </w:trPr>
        <w:tc>
          <w:tcPr>
            <w:tcW w:w="7297" w:type="dxa"/>
            <w:tcBorders>
              <w:top w:val="nil"/>
              <w:left w:val="nil"/>
              <w:bottom w:val="nil"/>
              <w:right w:val="nil"/>
            </w:tcBorders>
            <w:shd w:val="clear" w:color="auto" w:fill="auto"/>
            <w:noWrap/>
            <w:vAlign w:val="center"/>
            <w:hideMark/>
          </w:tcPr>
          <w:p w14:paraId="77BCEE68" w14:textId="75B82935" w:rsidR="00C26E34" w:rsidRPr="009F3325" w:rsidRDefault="00C26E34" w:rsidP="00C26E34">
            <w:pPr>
              <w:widowControl/>
              <w:autoSpaceDE/>
              <w:autoSpaceDN/>
              <w:ind w:leftChars="-49" w:left="24" w:hangingChars="60" w:hanging="132"/>
              <w:rPr>
                <w:lang w:val="es-ES_tradnl"/>
              </w:rPr>
            </w:pPr>
            <w:r w:rsidRPr="009F3325">
              <w:rPr>
                <w:lang w:val="es-ES_tradnl"/>
              </w:rPr>
              <w:t>Estados financieros</w:t>
            </w:r>
          </w:p>
        </w:tc>
        <w:tc>
          <w:tcPr>
            <w:tcW w:w="2063" w:type="dxa"/>
            <w:tcBorders>
              <w:top w:val="nil"/>
              <w:left w:val="nil"/>
              <w:bottom w:val="nil"/>
              <w:right w:val="nil"/>
            </w:tcBorders>
            <w:shd w:val="clear" w:color="auto" w:fill="auto"/>
            <w:noWrap/>
            <w:vAlign w:val="center"/>
            <w:hideMark/>
          </w:tcPr>
          <w:p w14:paraId="2612F7C2" w14:textId="19CD0B8F" w:rsidR="00C26E34" w:rsidRPr="009F3325" w:rsidRDefault="00C26E34" w:rsidP="00C26E34">
            <w:pPr>
              <w:widowControl/>
              <w:autoSpaceDE/>
              <w:autoSpaceDN/>
              <w:ind w:firstLineChars="300" w:firstLine="660"/>
              <w:rPr>
                <w:lang w:val="es-ES_tradnl"/>
              </w:rPr>
            </w:pPr>
            <w:r w:rsidRPr="009F3325">
              <w:rPr>
                <w:lang w:val="es-ES_tradnl"/>
              </w:rPr>
              <w:t>Indefinido</w:t>
            </w:r>
          </w:p>
        </w:tc>
      </w:tr>
      <w:tr w:rsidR="00C26E34" w:rsidRPr="009F3325" w14:paraId="7414840D" w14:textId="77777777" w:rsidTr="00C26E34">
        <w:trPr>
          <w:trHeight w:val="20"/>
        </w:trPr>
        <w:tc>
          <w:tcPr>
            <w:tcW w:w="7297" w:type="dxa"/>
            <w:tcBorders>
              <w:top w:val="nil"/>
              <w:left w:val="nil"/>
              <w:bottom w:val="nil"/>
              <w:right w:val="nil"/>
            </w:tcBorders>
            <w:shd w:val="clear" w:color="auto" w:fill="auto"/>
            <w:noWrap/>
            <w:vAlign w:val="center"/>
            <w:hideMark/>
          </w:tcPr>
          <w:p w14:paraId="5CD4CB8D" w14:textId="5FF0227C" w:rsidR="00C26E34" w:rsidRPr="009F3325" w:rsidRDefault="00C26E34" w:rsidP="00C26E34">
            <w:pPr>
              <w:widowControl/>
              <w:autoSpaceDE/>
              <w:autoSpaceDN/>
              <w:ind w:leftChars="-49" w:left="24" w:hangingChars="60" w:hanging="132"/>
              <w:rPr>
                <w:lang w:val="es-ES_tradnl"/>
              </w:rPr>
            </w:pPr>
            <w:r w:rsidRPr="009F3325">
              <w:rPr>
                <w:lang w:val="es-ES_tradnl"/>
              </w:rPr>
              <w:t>Declaraciones de impuestos + Hojas de trabajo</w:t>
            </w:r>
          </w:p>
        </w:tc>
        <w:tc>
          <w:tcPr>
            <w:tcW w:w="2063" w:type="dxa"/>
            <w:tcBorders>
              <w:top w:val="nil"/>
              <w:left w:val="nil"/>
              <w:bottom w:val="nil"/>
              <w:right w:val="nil"/>
            </w:tcBorders>
            <w:shd w:val="clear" w:color="auto" w:fill="auto"/>
            <w:noWrap/>
            <w:vAlign w:val="center"/>
            <w:hideMark/>
          </w:tcPr>
          <w:p w14:paraId="6A91BD35" w14:textId="1AA69D3C" w:rsidR="00C26E34" w:rsidRPr="009F3325" w:rsidRDefault="00C26E34" w:rsidP="00C26E34">
            <w:pPr>
              <w:widowControl/>
              <w:autoSpaceDE/>
              <w:autoSpaceDN/>
              <w:ind w:firstLineChars="300" w:firstLine="660"/>
              <w:rPr>
                <w:lang w:val="es-ES_tradnl"/>
              </w:rPr>
            </w:pPr>
            <w:r w:rsidRPr="009F3325">
              <w:rPr>
                <w:lang w:val="es-ES_tradnl"/>
              </w:rPr>
              <w:t>Indefinido</w:t>
            </w:r>
          </w:p>
        </w:tc>
      </w:tr>
      <w:tr w:rsidR="00C26E34" w:rsidRPr="009F3325" w14:paraId="238FDB22" w14:textId="77777777" w:rsidTr="00C26E34">
        <w:trPr>
          <w:trHeight w:val="20"/>
        </w:trPr>
        <w:tc>
          <w:tcPr>
            <w:tcW w:w="7297" w:type="dxa"/>
            <w:tcBorders>
              <w:top w:val="nil"/>
              <w:left w:val="nil"/>
              <w:bottom w:val="nil"/>
              <w:right w:val="nil"/>
            </w:tcBorders>
            <w:shd w:val="clear" w:color="auto" w:fill="auto"/>
            <w:noWrap/>
            <w:vAlign w:val="center"/>
            <w:hideMark/>
          </w:tcPr>
          <w:p w14:paraId="521AD2D8" w14:textId="3D54B174" w:rsidR="00C26E34" w:rsidRPr="009F3325" w:rsidRDefault="00C26E34" w:rsidP="00C26E34">
            <w:pPr>
              <w:widowControl/>
              <w:autoSpaceDE/>
              <w:autoSpaceDN/>
              <w:ind w:leftChars="-49" w:left="24" w:hangingChars="60" w:hanging="132"/>
              <w:rPr>
                <w:lang w:val="es-ES_tradnl"/>
              </w:rPr>
            </w:pPr>
            <w:r w:rsidRPr="009F3325">
              <w:rPr>
                <w:lang w:val="es-ES_tradnl"/>
              </w:rPr>
              <w:t>Libros contables de activos fijos; Libros contables generales</w:t>
            </w:r>
          </w:p>
        </w:tc>
        <w:tc>
          <w:tcPr>
            <w:tcW w:w="2063" w:type="dxa"/>
            <w:tcBorders>
              <w:top w:val="nil"/>
              <w:left w:val="nil"/>
              <w:bottom w:val="nil"/>
              <w:right w:val="nil"/>
            </w:tcBorders>
            <w:shd w:val="clear" w:color="auto" w:fill="auto"/>
            <w:noWrap/>
            <w:vAlign w:val="center"/>
            <w:hideMark/>
          </w:tcPr>
          <w:p w14:paraId="6A178680" w14:textId="2F0D7781" w:rsidR="00C26E34" w:rsidRPr="009F3325" w:rsidRDefault="00C26E34" w:rsidP="00C26E34">
            <w:pPr>
              <w:widowControl/>
              <w:autoSpaceDE/>
              <w:autoSpaceDN/>
              <w:ind w:firstLineChars="300" w:firstLine="660"/>
              <w:rPr>
                <w:lang w:val="es-ES_tradnl"/>
              </w:rPr>
            </w:pPr>
            <w:r w:rsidRPr="009F3325">
              <w:rPr>
                <w:lang w:val="es-ES_tradnl"/>
              </w:rPr>
              <w:t>Indefinido</w:t>
            </w:r>
          </w:p>
        </w:tc>
      </w:tr>
      <w:tr w:rsidR="00C26E34" w:rsidRPr="009F3325" w14:paraId="7F8296DB" w14:textId="77777777" w:rsidTr="00C26E34">
        <w:trPr>
          <w:trHeight w:val="20"/>
        </w:trPr>
        <w:tc>
          <w:tcPr>
            <w:tcW w:w="7297" w:type="dxa"/>
            <w:tcBorders>
              <w:top w:val="nil"/>
              <w:left w:val="nil"/>
              <w:bottom w:val="nil"/>
              <w:right w:val="nil"/>
            </w:tcBorders>
            <w:shd w:val="clear" w:color="auto" w:fill="auto"/>
            <w:noWrap/>
            <w:vAlign w:val="center"/>
            <w:hideMark/>
          </w:tcPr>
          <w:p w14:paraId="60D659C7" w14:textId="3511CCDE" w:rsidR="00C26E34" w:rsidRPr="009F3325" w:rsidRDefault="00C26E34" w:rsidP="00C26E34">
            <w:pPr>
              <w:widowControl/>
              <w:autoSpaceDE/>
              <w:autoSpaceDN/>
              <w:ind w:leftChars="-49" w:left="24" w:hangingChars="60" w:hanging="132"/>
              <w:rPr>
                <w:lang w:val="es-ES_tradnl"/>
              </w:rPr>
            </w:pPr>
            <w:r w:rsidRPr="009F3325">
              <w:rPr>
                <w:lang w:val="es-ES_tradnl"/>
              </w:rPr>
              <w:t>Formularios 1099</w:t>
            </w:r>
          </w:p>
        </w:tc>
        <w:tc>
          <w:tcPr>
            <w:tcW w:w="2063" w:type="dxa"/>
            <w:tcBorders>
              <w:top w:val="nil"/>
              <w:left w:val="nil"/>
              <w:bottom w:val="nil"/>
              <w:right w:val="nil"/>
            </w:tcBorders>
            <w:shd w:val="clear" w:color="auto" w:fill="auto"/>
            <w:noWrap/>
            <w:vAlign w:val="center"/>
            <w:hideMark/>
          </w:tcPr>
          <w:p w14:paraId="1A3F0A80" w14:textId="07621B0D" w:rsidR="00C26E34" w:rsidRPr="009F3325" w:rsidRDefault="00C26E34" w:rsidP="00C26E34">
            <w:pPr>
              <w:widowControl/>
              <w:autoSpaceDE/>
              <w:autoSpaceDN/>
              <w:ind w:firstLineChars="300" w:firstLine="660"/>
              <w:rPr>
                <w:lang w:val="es-ES_tradnl"/>
              </w:rPr>
            </w:pPr>
            <w:r w:rsidRPr="009F3325">
              <w:rPr>
                <w:lang w:val="es-ES_tradnl"/>
              </w:rPr>
              <w:t>5 años</w:t>
            </w:r>
          </w:p>
        </w:tc>
      </w:tr>
      <w:tr w:rsidR="00C26E34" w:rsidRPr="009F3325" w14:paraId="0907D253" w14:textId="77777777" w:rsidTr="00C26E34">
        <w:trPr>
          <w:trHeight w:val="20"/>
        </w:trPr>
        <w:tc>
          <w:tcPr>
            <w:tcW w:w="7297" w:type="dxa"/>
            <w:tcBorders>
              <w:top w:val="nil"/>
              <w:left w:val="nil"/>
              <w:bottom w:val="nil"/>
              <w:right w:val="nil"/>
            </w:tcBorders>
            <w:shd w:val="clear" w:color="auto" w:fill="auto"/>
            <w:noWrap/>
            <w:vAlign w:val="center"/>
            <w:hideMark/>
          </w:tcPr>
          <w:p w14:paraId="4FE23EE7" w14:textId="7A20C149" w:rsidR="00C26E34" w:rsidRPr="009F3325" w:rsidRDefault="00C26E34" w:rsidP="00C26E34">
            <w:pPr>
              <w:widowControl/>
              <w:autoSpaceDE/>
              <w:autoSpaceDN/>
              <w:ind w:leftChars="-49" w:left="24" w:hangingChars="60" w:hanging="132"/>
              <w:rPr>
                <w:lang w:val="es-ES_tradnl"/>
              </w:rPr>
            </w:pPr>
            <w:r w:rsidRPr="009F3325">
              <w:rPr>
                <w:lang w:val="es-ES_tradnl"/>
              </w:rPr>
              <w:t>Registros de gastos comerciales</w:t>
            </w:r>
          </w:p>
        </w:tc>
        <w:tc>
          <w:tcPr>
            <w:tcW w:w="2063" w:type="dxa"/>
            <w:tcBorders>
              <w:top w:val="nil"/>
              <w:left w:val="nil"/>
              <w:bottom w:val="nil"/>
              <w:right w:val="nil"/>
            </w:tcBorders>
            <w:shd w:val="clear" w:color="auto" w:fill="auto"/>
            <w:noWrap/>
            <w:vAlign w:val="center"/>
            <w:hideMark/>
          </w:tcPr>
          <w:p w14:paraId="3593FAC3" w14:textId="0E0BEDDC" w:rsidR="00C26E34" w:rsidRPr="009F3325" w:rsidRDefault="00C26E34" w:rsidP="00C26E34">
            <w:pPr>
              <w:widowControl/>
              <w:autoSpaceDE/>
              <w:autoSpaceDN/>
              <w:ind w:firstLineChars="300" w:firstLine="660"/>
              <w:rPr>
                <w:lang w:val="es-ES_tradnl"/>
              </w:rPr>
            </w:pPr>
            <w:r w:rsidRPr="009F3325">
              <w:rPr>
                <w:lang w:val="es-ES_tradnl"/>
              </w:rPr>
              <w:t>5 años</w:t>
            </w:r>
          </w:p>
        </w:tc>
      </w:tr>
      <w:tr w:rsidR="00C26E34" w:rsidRPr="009F3325" w14:paraId="295DE153" w14:textId="77777777" w:rsidTr="00C26E34">
        <w:trPr>
          <w:trHeight w:val="20"/>
        </w:trPr>
        <w:tc>
          <w:tcPr>
            <w:tcW w:w="7297" w:type="dxa"/>
            <w:tcBorders>
              <w:top w:val="nil"/>
              <w:left w:val="nil"/>
              <w:bottom w:val="nil"/>
              <w:right w:val="nil"/>
            </w:tcBorders>
            <w:shd w:val="clear" w:color="auto" w:fill="auto"/>
            <w:noWrap/>
            <w:vAlign w:val="center"/>
            <w:hideMark/>
          </w:tcPr>
          <w:p w14:paraId="0C1C7892" w14:textId="559F23D2" w:rsidR="00C26E34" w:rsidRPr="009F3325" w:rsidRDefault="00C26E34" w:rsidP="00C26E34">
            <w:pPr>
              <w:widowControl/>
              <w:autoSpaceDE/>
              <w:autoSpaceDN/>
              <w:ind w:leftChars="-49" w:left="24" w:hangingChars="60" w:hanging="132"/>
              <w:rPr>
                <w:lang w:val="es-ES_tradnl"/>
              </w:rPr>
            </w:pPr>
            <w:r w:rsidRPr="009F3325">
              <w:rPr>
                <w:lang w:val="es-ES_tradnl"/>
              </w:rPr>
              <w:t>Recibos de efectivo/tarjeta de crédito</w:t>
            </w:r>
          </w:p>
        </w:tc>
        <w:tc>
          <w:tcPr>
            <w:tcW w:w="2063" w:type="dxa"/>
            <w:tcBorders>
              <w:top w:val="nil"/>
              <w:left w:val="nil"/>
              <w:bottom w:val="nil"/>
              <w:right w:val="nil"/>
            </w:tcBorders>
            <w:shd w:val="clear" w:color="auto" w:fill="auto"/>
            <w:noWrap/>
            <w:vAlign w:val="center"/>
            <w:hideMark/>
          </w:tcPr>
          <w:p w14:paraId="3B4A3847" w14:textId="52458ED4"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22EFD766" w14:textId="77777777" w:rsidTr="00C26E34">
        <w:trPr>
          <w:trHeight w:val="20"/>
        </w:trPr>
        <w:tc>
          <w:tcPr>
            <w:tcW w:w="7297" w:type="dxa"/>
            <w:tcBorders>
              <w:top w:val="nil"/>
              <w:left w:val="nil"/>
              <w:bottom w:val="nil"/>
              <w:right w:val="nil"/>
            </w:tcBorders>
            <w:shd w:val="clear" w:color="auto" w:fill="auto"/>
            <w:noWrap/>
            <w:vAlign w:val="center"/>
            <w:hideMark/>
          </w:tcPr>
          <w:p w14:paraId="1199E55A" w14:textId="7CAB99DA" w:rsidR="00C26E34" w:rsidRPr="009F3325" w:rsidRDefault="00C26E34" w:rsidP="00C26E34">
            <w:pPr>
              <w:widowControl/>
              <w:autoSpaceDE/>
              <w:autoSpaceDN/>
              <w:ind w:leftChars="-49" w:left="24" w:hangingChars="60" w:hanging="132"/>
              <w:rPr>
                <w:lang w:val="es-ES_tradnl"/>
              </w:rPr>
            </w:pPr>
            <w:r w:rsidRPr="009F3325">
              <w:rPr>
                <w:lang w:val="es-ES_tradnl"/>
              </w:rPr>
              <w:t>Estados de cuenta bancarios</w:t>
            </w:r>
          </w:p>
        </w:tc>
        <w:tc>
          <w:tcPr>
            <w:tcW w:w="2063" w:type="dxa"/>
            <w:tcBorders>
              <w:top w:val="nil"/>
              <w:left w:val="nil"/>
              <w:bottom w:val="nil"/>
              <w:right w:val="nil"/>
            </w:tcBorders>
            <w:shd w:val="clear" w:color="auto" w:fill="auto"/>
            <w:noWrap/>
            <w:vAlign w:val="center"/>
            <w:hideMark/>
          </w:tcPr>
          <w:p w14:paraId="58006A03" w14:textId="78A63EC0"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095F9D2A" w14:textId="77777777" w:rsidTr="00C26E34">
        <w:trPr>
          <w:trHeight w:val="20"/>
        </w:trPr>
        <w:tc>
          <w:tcPr>
            <w:tcW w:w="7297" w:type="dxa"/>
            <w:tcBorders>
              <w:top w:val="nil"/>
              <w:left w:val="nil"/>
              <w:bottom w:val="nil"/>
              <w:right w:val="nil"/>
            </w:tcBorders>
            <w:shd w:val="clear" w:color="auto" w:fill="auto"/>
            <w:noWrap/>
            <w:vAlign w:val="center"/>
            <w:hideMark/>
          </w:tcPr>
          <w:p w14:paraId="66272384" w14:textId="65197F1D" w:rsidR="00C26E34" w:rsidRPr="009F3325" w:rsidRDefault="00C26E34" w:rsidP="00C26E34">
            <w:pPr>
              <w:widowControl/>
              <w:autoSpaceDE/>
              <w:autoSpaceDN/>
              <w:ind w:leftChars="-49" w:left="24" w:hangingChars="60" w:hanging="132"/>
              <w:rPr>
                <w:lang w:val="es-ES_tradnl"/>
              </w:rPr>
            </w:pPr>
            <w:r w:rsidRPr="009F3325">
              <w:rPr>
                <w:lang w:val="es-ES_tradnl"/>
              </w:rPr>
              <w:t>Registros de gastos de capital</w:t>
            </w:r>
          </w:p>
        </w:tc>
        <w:tc>
          <w:tcPr>
            <w:tcW w:w="2063" w:type="dxa"/>
            <w:tcBorders>
              <w:top w:val="nil"/>
              <w:left w:val="nil"/>
              <w:bottom w:val="nil"/>
              <w:right w:val="nil"/>
            </w:tcBorders>
            <w:shd w:val="clear" w:color="auto" w:fill="auto"/>
            <w:noWrap/>
            <w:vAlign w:val="center"/>
            <w:hideMark/>
          </w:tcPr>
          <w:p w14:paraId="068A7964" w14:textId="737CAACF"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6B2E6EF0" w14:textId="77777777" w:rsidTr="00C26E34">
        <w:trPr>
          <w:trHeight w:val="20"/>
        </w:trPr>
        <w:tc>
          <w:tcPr>
            <w:tcW w:w="7297" w:type="dxa"/>
            <w:tcBorders>
              <w:top w:val="nil"/>
              <w:left w:val="nil"/>
              <w:bottom w:val="nil"/>
              <w:right w:val="nil"/>
            </w:tcBorders>
            <w:shd w:val="clear" w:color="auto" w:fill="auto"/>
            <w:noWrap/>
            <w:vAlign w:val="center"/>
            <w:hideMark/>
          </w:tcPr>
          <w:p w14:paraId="341D11B3" w14:textId="0FA5E74F" w:rsidR="00C26E34" w:rsidRPr="009F3325" w:rsidRDefault="00C26E34" w:rsidP="00C26E34">
            <w:pPr>
              <w:widowControl/>
              <w:autoSpaceDE/>
              <w:autoSpaceDN/>
              <w:ind w:leftChars="-49" w:left="24" w:hangingChars="60" w:hanging="132"/>
              <w:rPr>
                <w:lang w:val="es-ES_tradnl"/>
              </w:rPr>
            </w:pPr>
            <w:r w:rsidRPr="009F3325">
              <w:rPr>
                <w:lang w:val="es-ES_tradnl"/>
              </w:rPr>
              <w:t xml:space="preserve">Diario de gastos </w:t>
            </w:r>
            <w:proofErr w:type="spellStart"/>
            <w:r w:rsidRPr="009F3325">
              <w:rPr>
                <w:lang w:val="es-ES_tradnl"/>
              </w:rPr>
              <w:t>prepagados</w:t>
            </w:r>
            <w:proofErr w:type="spellEnd"/>
            <w:r w:rsidRPr="009F3325">
              <w:rPr>
                <w:lang w:val="es-ES_tradnl"/>
              </w:rPr>
              <w:t xml:space="preserve"> y acumulados</w:t>
            </w:r>
          </w:p>
        </w:tc>
        <w:tc>
          <w:tcPr>
            <w:tcW w:w="2063" w:type="dxa"/>
            <w:tcBorders>
              <w:top w:val="nil"/>
              <w:left w:val="nil"/>
              <w:bottom w:val="nil"/>
              <w:right w:val="nil"/>
            </w:tcBorders>
            <w:shd w:val="clear" w:color="auto" w:fill="auto"/>
            <w:noWrap/>
            <w:vAlign w:val="center"/>
            <w:hideMark/>
          </w:tcPr>
          <w:p w14:paraId="5A3CD7C4" w14:textId="355B301D"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08D5D08F" w14:textId="77777777" w:rsidTr="00C26E34">
        <w:trPr>
          <w:trHeight w:val="20"/>
        </w:trPr>
        <w:tc>
          <w:tcPr>
            <w:tcW w:w="7297" w:type="dxa"/>
            <w:tcBorders>
              <w:top w:val="nil"/>
              <w:left w:val="nil"/>
              <w:bottom w:val="nil"/>
              <w:right w:val="nil"/>
            </w:tcBorders>
            <w:shd w:val="clear" w:color="auto" w:fill="auto"/>
            <w:noWrap/>
            <w:vAlign w:val="center"/>
            <w:hideMark/>
          </w:tcPr>
          <w:p w14:paraId="6F62ED3D" w14:textId="552E1830" w:rsidR="00C26E34" w:rsidRPr="009F3325" w:rsidRDefault="00C26E34" w:rsidP="00C26E34">
            <w:pPr>
              <w:widowControl/>
              <w:autoSpaceDE/>
              <w:autoSpaceDN/>
              <w:ind w:leftChars="-49" w:left="24" w:hangingChars="60" w:hanging="132"/>
              <w:rPr>
                <w:lang w:val="es-ES_tradnl"/>
              </w:rPr>
            </w:pPr>
            <w:r w:rsidRPr="009F3325">
              <w:rPr>
                <w:lang w:val="es-ES_tradnl"/>
              </w:rPr>
              <w:t>Comprobantes de gastos menores y registros relacionados</w:t>
            </w:r>
          </w:p>
        </w:tc>
        <w:tc>
          <w:tcPr>
            <w:tcW w:w="2063" w:type="dxa"/>
            <w:tcBorders>
              <w:top w:val="nil"/>
              <w:left w:val="nil"/>
              <w:bottom w:val="nil"/>
              <w:right w:val="nil"/>
            </w:tcBorders>
            <w:shd w:val="clear" w:color="auto" w:fill="auto"/>
            <w:noWrap/>
            <w:vAlign w:val="center"/>
            <w:hideMark/>
          </w:tcPr>
          <w:p w14:paraId="41342755" w14:textId="20D25003"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595FCC57" w14:textId="77777777" w:rsidTr="00C26E34">
        <w:trPr>
          <w:trHeight w:val="20"/>
        </w:trPr>
        <w:tc>
          <w:tcPr>
            <w:tcW w:w="7297" w:type="dxa"/>
            <w:tcBorders>
              <w:top w:val="nil"/>
              <w:left w:val="nil"/>
              <w:bottom w:val="nil"/>
              <w:right w:val="nil"/>
            </w:tcBorders>
            <w:shd w:val="clear" w:color="auto" w:fill="auto"/>
            <w:noWrap/>
            <w:vAlign w:val="center"/>
            <w:hideMark/>
          </w:tcPr>
          <w:p w14:paraId="0DAEA7EA" w14:textId="3F544AB9" w:rsidR="00C26E34" w:rsidRPr="009F3325" w:rsidRDefault="00C26E34" w:rsidP="00C26E34">
            <w:pPr>
              <w:widowControl/>
              <w:autoSpaceDE/>
              <w:autoSpaceDN/>
              <w:ind w:leftChars="-49" w:left="24" w:hangingChars="60" w:hanging="132"/>
              <w:rPr>
                <w:lang w:val="es-ES_tradnl"/>
              </w:rPr>
            </w:pPr>
          </w:p>
        </w:tc>
        <w:tc>
          <w:tcPr>
            <w:tcW w:w="2063" w:type="dxa"/>
            <w:tcBorders>
              <w:top w:val="nil"/>
              <w:left w:val="nil"/>
              <w:bottom w:val="nil"/>
              <w:right w:val="nil"/>
            </w:tcBorders>
            <w:shd w:val="clear" w:color="auto" w:fill="auto"/>
            <w:noWrap/>
            <w:vAlign w:val="bottom"/>
            <w:hideMark/>
          </w:tcPr>
          <w:p w14:paraId="006C64B3" w14:textId="1FC36790" w:rsidR="00C26E34" w:rsidRPr="009F3325" w:rsidRDefault="00C26E34" w:rsidP="00C26E34">
            <w:pPr>
              <w:widowControl/>
              <w:autoSpaceDE/>
              <w:autoSpaceDN/>
              <w:ind w:firstLineChars="300" w:firstLine="660"/>
              <w:rPr>
                <w:lang w:val="es-ES_tradnl"/>
              </w:rPr>
            </w:pPr>
          </w:p>
        </w:tc>
      </w:tr>
      <w:tr w:rsidR="00C26E34" w:rsidRPr="009F3325" w14:paraId="2E74DE03" w14:textId="77777777" w:rsidTr="00C26E34">
        <w:trPr>
          <w:trHeight w:val="20"/>
        </w:trPr>
        <w:tc>
          <w:tcPr>
            <w:tcW w:w="7297" w:type="dxa"/>
            <w:tcBorders>
              <w:top w:val="nil"/>
              <w:left w:val="nil"/>
              <w:bottom w:val="nil"/>
              <w:right w:val="nil"/>
            </w:tcBorders>
            <w:shd w:val="clear" w:color="auto" w:fill="auto"/>
            <w:noWrap/>
            <w:vAlign w:val="center"/>
            <w:hideMark/>
          </w:tcPr>
          <w:p w14:paraId="4B2F10FB" w14:textId="2668B650" w:rsidR="00C26E34" w:rsidRPr="009F3325" w:rsidRDefault="00C26E34" w:rsidP="00C26E34">
            <w:pPr>
              <w:widowControl/>
              <w:autoSpaceDE/>
              <w:autoSpaceDN/>
              <w:ind w:leftChars="-49" w:left="24" w:hangingChars="60" w:hanging="132"/>
              <w:rPr>
                <w:lang w:val="es-ES_tradnl"/>
              </w:rPr>
            </w:pPr>
            <w:r w:rsidRPr="009F3325">
              <w:rPr>
                <w:lang w:val="es-ES_tradnl"/>
              </w:rPr>
              <w:t>Registros de impuestos de nómina y empleo</w:t>
            </w:r>
          </w:p>
        </w:tc>
        <w:tc>
          <w:tcPr>
            <w:tcW w:w="2063" w:type="dxa"/>
            <w:tcBorders>
              <w:top w:val="nil"/>
              <w:left w:val="nil"/>
              <w:bottom w:val="nil"/>
              <w:right w:val="nil"/>
            </w:tcBorders>
            <w:shd w:val="clear" w:color="auto" w:fill="auto"/>
            <w:noWrap/>
            <w:vAlign w:val="bottom"/>
            <w:hideMark/>
          </w:tcPr>
          <w:p w14:paraId="67AB3749" w14:textId="77777777" w:rsidR="00C26E34" w:rsidRPr="009F3325" w:rsidRDefault="00C26E34" w:rsidP="00C26E34">
            <w:pPr>
              <w:widowControl/>
              <w:autoSpaceDE/>
              <w:autoSpaceDN/>
              <w:rPr>
                <w:lang w:val="es-ES_tradnl"/>
              </w:rPr>
            </w:pPr>
          </w:p>
        </w:tc>
      </w:tr>
      <w:tr w:rsidR="00C26E34" w:rsidRPr="009F3325" w14:paraId="308C091C" w14:textId="77777777" w:rsidTr="00C26E34">
        <w:trPr>
          <w:trHeight w:val="20"/>
        </w:trPr>
        <w:tc>
          <w:tcPr>
            <w:tcW w:w="7297" w:type="dxa"/>
            <w:tcBorders>
              <w:top w:val="nil"/>
              <w:left w:val="nil"/>
              <w:bottom w:val="nil"/>
              <w:right w:val="nil"/>
            </w:tcBorders>
            <w:shd w:val="clear" w:color="auto" w:fill="auto"/>
            <w:noWrap/>
            <w:vAlign w:val="center"/>
            <w:hideMark/>
          </w:tcPr>
          <w:p w14:paraId="5475E18B" w14:textId="5FAB8056" w:rsidR="00C26E34" w:rsidRPr="009F3325" w:rsidRDefault="00C26E34" w:rsidP="00C26E34">
            <w:pPr>
              <w:widowControl/>
              <w:autoSpaceDE/>
              <w:autoSpaceDN/>
              <w:ind w:leftChars="-49" w:left="24" w:hangingChars="60" w:hanging="132"/>
              <w:rPr>
                <w:lang w:val="es-ES_tradnl"/>
              </w:rPr>
            </w:pPr>
            <w:r w:rsidRPr="009F3325">
              <w:rPr>
                <w:lang w:val="es-ES_tradnl"/>
              </w:rPr>
              <w:t>Registros de nómina/Registros de nómina suplementarios</w:t>
            </w:r>
          </w:p>
        </w:tc>
        <w:tc>
          <w:tcPr>
            <w:tcW w:w="2063" w:type="dxa"/>
            <w:tcBorders>
              <w:top w:val="nil"/>
              <w:left w:val="nil"/>
              <w:bottom w:val="nil"/>
              <w:right w:val="nil"/>
            </w:tcBorders>
            <w:shd w:val="clear" w:color="auto" w:fill="auto"/>
            <w:noWrap/>
            <w:vAlign w:val="center"/>
            <w:hideMark/>
          </w:tcPr>
          <w:p w14:paraId="495A8423" w14:textId="51674313" w:rsidR="00C26E34" w:rsidRPr="009F3325" w:rsidRDefault="00C26E34" w:rsidP="00C26E34">
            <w:pPr>
              <w:widowControl/>
              <w:autoSpaceDE/>
              <w:autoSpaceDN/>
              <w:ind w:firstLineChars="300" w:firstLine="660"/>
              <w:rPr>
                <w:lang w:val="es-ES_tradnl"/>
              </w:rPr>
            </w:pPr>
            <w:r w:rsidRPr="009F3325">
              <w:rPr>
                <w:lang w:val="es-ES_tradnl"/>
              </w:rPr>
              <w:t>5 años</w:t>
            </w:r>
          </w:p>
        </w:tc>
      </w:tr>
      <w:tr w:rsidR="00C26E34" w:rsidRPr="009F3325" w14:paraId="1C0C010D" w14:textId="77777777" w:rsidTr="00C26E34">
        <w:trPr>
          <w:trHeight w:val="20"/>
        </w:trPr>
        <w:tc>
          <w:tcPr>
            <w:tcW w:w="7297" w:type="dxa"/>
            <w:tcBorders>
              <w:top w:val="nil"/>
              <w:left w:val="nil"/>
              <w:bottom w:val="nil"/>
              <w:right w:val="nil"/>
            </w:tcBorders>
            <w:shd w:val="clear" w:color="auto" w:fill="auto"/>
            <w:noWrap/>
            <w:vAlign w:val="center"/>
            <w:hideMark/>
          </w:tcPr>
          <w:p w14:paraId="07463B36" w14:textId="69A81A9D" w:rsidR="00C26E34" w:rsidRPr="009F3325" w:rsidRDefault="00C26E34" w:rsidP="00C26E34">
            <w:pPr>
              <w:widowControl/>
              <w:autoSpaceDE/>
              <w:autoSpaceDN/>
              <w:ind w:leftChars="-49" w:left="24" w:hangingChars="60" w:hanging="132"/>
              <w:rPr>
                <w:lang w:val="es-ES_tradnl"/>
              </w:rPr>
            </w:pPr>
            <w:r w:rsidRPr="009F3325">
              <w:rPr>
                <w:lang w:val="es-ES_tradnl"/>
              </w:rPr>
              <w:t>Registros estatales de impuestos de desempleo</w:t>
            </w:r>
          </w:p>
        </w:tc>
        <w:tc>
          <w:tcPr>
            <w:tcW w:w="2063" w:type="dxa"/>
            <w:tcBorders>
              <w:top w:val="nil"/>
              <w:left w:val="nil"/>
              <w:bottom w:val="nil"/>
              <w:right w:val="nil"/>
            </w:tcBorders>
            <w:shd w:val="clear" w:color="auto" w:fill="auto"/>
            <w:noWrap/>
            <w:vAlign w:val="center"/>
            <w:hideMark/>
          </w:tcPr>
          <w:p w14:paraId="2C5A3766" w14:textId="5693F8D3" w:rsidR="00C26E34" w:rsidRPr="009F3325" w:rsidRDefault="00C26E34" w:rsidP="00C26E34">
            <w:pPr>
              <w:widowControl/>
              <w:autoSpaceDE/>
              <w:autoSpaceDN/>
              <w:ind w:firstLineChars="300" w:firstLine="660"/>
              <w:rPr>
                <w:lang w:val="es-ES_tradnl"/>
              </w:rPr>
            </w:pPr>
            <w:r w:rsidRPr="009F3325">
              <w:rPr>
                <w:lang w:val="es-ES_tradnl"/>
              </w:rPr>
              <w:t>Indefinido</w:t>
            </w:r>
          </w:p>
        </w:tc>
      </w:tr>
      <w:tr w:rsidR="00C26E34" w:rsidRPr="009F3325" w14:paraId="43BF1B02" w14:textId="77777777" w:rsidTr="00C26E34">
        <w:trPr>
          <w:trHeight w:val="20"/>
        </w:trPr>
        <w:tc>
          <w:tcPr>
            <w:tcW w:w="7297" w:type="dxa"/>
            <w:tcBorders>
              <w:top w:val="nil"/>
              <w:left w:val="nil"/>
              <w:bottom w:val="nil"/>
              <w:right w:val="nil"/>
            </w:tcBorders>
            <w:shd w:val="clear" w:color="auto" w:fill="auto"/>
            <w:noWrap/>
            <w:vAlign w:val="center"/>
            <w:hideMark/>
          </w:tcPr>
          <w:p w14:paraId="1390FDA8" w14:textId="570364EC" w:rsidR="00C26E34" w:rsidRPr="009F3325" w:rsidRDefault="00C26E34" w:rsidP="00C26E34">
            <w:pPr>
              <w:widowControl/>
              <w:autoSpaceDE/>
              <w:autoSpaceDN/>
              <w:ind w:leftChars="-49" w:left="24" w:hangingChars="60" w:hanging="132"/>
              <w:rPr>
                <w:lang w:val="es-ES_tradnl"/>
              </w:rPr>
            </w:pPr>
            <w:r w:rsidRPr="009F3325">
              <w:rPr>
                <w:lang w:val="es-ES_tradnl"/>
              </w:rPr>
              <w:t>Registros de ganancias/embargos</w:t>
            </w:r>
          </w:p>
        </w:tc>
        <w:tc>
          <w:tcPr>
            <w:tcW w:w="2063" w:type="dxa"/>
            <w:tcBorders>
              <w:top w:val="nil"/>
              <w:left w:val="nil"/>
              <w:bottom w:val="nil"/>
              <w:right w:val="nil"/>
            </w:tcBorders>
            <w:shd w:val="clear" w:color="auto" w:fill="auto"/>
            <w:noWrap/>
            <w:vAlign w:val="center"/>
            <w:hideMark/>
          </w:tcPr>
          <w:p w14:paraId="3C5FD6C5" w14:textId="15F76DEB" w:rsidR="00C26E34" w:rsidRPr="009F3325" w:rsidRDefault="00C26E34" w:rsidP="00C26E34">
            <w:pPr>
              <w:widowControl/>
              <w:autoSpaceDE/>
              <w:autoSpaceDN/>
              <w:ind w:firstLineChars="300" w:firstLine="660"/>
              <w:rPr>
                <w:lang w:val="es-ES_tradnl"/>
              </w:rPr>
            </w:pPr>
            <w:r w:rsidRPr="009F3325">
              <w:rPr>
                <w:lang w:val="es-ES_tradnl"/>
              </w:rPr>
              <w:t>5 años</w:t>
            </w:r>
          </w:p>
        </w:tc>
      </w:tr>
      <w:tr w:rsidR="00C26E34" w:rsidRPr="009F3325" w14:paraId="2B100825" w14:textId="77777777" w:rsidTr="00C26E34">
        <w:trPr>
          <w:trHeight w:val="20"/>
        </w:trPr>
        <w:tc>
          <w:tcPr>
            <w:tcW w:w="7297" w:type="dxa"/>
            <w:tcBorders>
              <w:top w:val="nil"/>
              <w:left w:val="nil"/>
              <w:bottom w:val="nil"/>
              <w:right w:val="nil"/>
            </w:tcBorders>
            <w:shd w:val="clear" w:color="auto" w:fill="auto"/>
            <w:noWrap/>
            <w:vAlign w:val="center"/>
            <w:hideMark/>
          </w:tcPr>
          <w:p w14:paraId="157BF498" w14:textId="55E0EF92" w:rsidR="00C26E34" w:rsidRPr="009F3325" w:rsidRDefault="00C26E34" w:rsidP="00C26E34">
            <w:pPr>
              <w:widowControl/>
              <w:autoSpaceDE/>
              <w:autoSpaceDN/>
              <w:ind w:leftChars="-49" w:left="24" w:hangingChars="60" w:hanging="132"/>
              <w:rPr>
                <w:lang w:val="es-ES_tradnl"/>
              </w:rPr>
            </w:pPr>
            <w:r w:rsidRPr="009F3325">
              <w:rPr>
                <w:lang w:val="es-ES_tradnl"/>
              </w:rPr>
              <w:t>Declaraciones de impuestos sobre la nómina</w:t>
            </w:r>
          </w:p>
        </w:tc>
        <w:tc>
          <w:tcPr>
            <w:tcW w:w="2063" w:type="dxa"/>
            <w:tcBorders>
              <w:top w:val="nil"/>
              <w:left w:val="nil"/>
              <w:bottom w:val="nil"/>
              <w:right w:val="nil"/>
            </w:tcBorders>
            <w:shd w:val="clear" w:color="auto" w:fill="auto"/>
            <w:noWrap/>
            <w:vAlign w:val="center"/>
            <w:hideMark/>
          </w:tcPr>
          <w:p w14:paraId="4F632F07" w14:textId="71875397"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55D16275" w14:textId="77777777" w:rsidTr="00C26E34">
        <w:trPr>
          <w:trHeight w:val="20"/>
        </w:trPr>
        <w:tc>
          <w:tcPr>
            <w:tcW w:w="7297" w:type="dxa"/>
            <w:tcBorders>
              <w:top w:val="nil"/>
              <w:left w:val="nil"/>
              <w:bottom w:val="nil"/>
              <w:right w:val="nil"/>
            </w:tcBorders>
            <w:shd w:val="clear" w:color="auto" w:fill="auto"/>
            <w:noWrap/>
            <w:vAlign w:val="center"/>
            <w:hideMark/>
          </w:tcPr>
          <w:p w14:paraId="21153CCC" w14:textId="3A033279" w:rsidR="00C26E34" w:rsidRPr="009F3325" w:rsidRDefault="00C26E34" w:rsidP="00C26E34">
            <w:pPr>
              <w:widowControl/>
              <w:autoSpaceDE/>
              <w:autoSpaceDN/>
              <w:ind w:leftChars="-49" w:left="24" w:hangingChars="60" w:hanging="132"/>
              <w:rPr>
                <w:lang w:val="es-ES_tradnl"/>
              </w:rPr>
            </w:pPr>
            <w:r w:rsidRPr="009F3325">
              <w:rPr>
                <w:lang w:val="es-ES_tradnl"/>
              </w:rPr>
              <w:t>Declaraciones W-2</w:t>
            </w:r>
          </w:p>
        </w:tc>
        <w:tc>
          <w:tcPr>
            <w:tcW w:w="2063" w:type="dxa"/>
            <w:tcBorders>
              <w:top w:val="nil"/>
              <w:left w:val="nil"/>
              <w:bottom w:val="nil"/>
              <w:right w:val="nil"/>
            </w:tcBorders>
            <w:shd w:val="clear" w:color="auto" w:fill="auto"/>
            <w:noWrap/>
            <w:vAlign w:val="center"/>
            <w:hideMark/>
          </w:tcPr>
          <w:p w14:paraId="46CA3148" w14:textId="42B97033"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39E3E13F" w14:textId="77777777" w:rsidTr="00C26E34">
        <w:trPr>
          <w:trHeight w:val="20"/>
        </w:trPr>
        <w:tc>
          <w:tcPr>
            <w:tcW w:w="7297" w:type="dxa"/>
            <w:tcBorders>
              <w:top w:val="nil"/>
              <w:left w:val="nil"/>
              <w:bottom w:val="nil"/>
              <w:right w:val="nil"/>
            </w:tcBorders>
            <w:shd w:val="clear" w:color="auto" w:fill="auto"/>
            <w:noWrap/>
            <w:vAlign w:val="center"/>
            <w:hideMark/>
          </w:tcPr>
          <w:p w14:paraId="5CBB1165" w14:textId="5F122539" w:rsidR="00C26E34" w:rsidRPr="009F3325" w:rsidRDefault="00C26E34" w:rsidP="00C26E34">
            <w:pPr>
              <w:widowControl/>
              <w:autoSpaceDE/>
              <w:autoSpaceDN/>
              <w:ind w:leftChars="-49" w:left="24" w:hangingChars="60" w:hanging="132"/>
              <w:rPr>
                <w:lang w:val="es-ES_tradnl"/>
              </w:rPr>
            </w:pPr>
          </w:p>
        </w:tc>
        <w:tc>
          <w:tcPr>
            <w:tcW w:w="2063" w:type="dxa"/>
            <w:tcBorders>
              <w:top w:val="nil"/>
              <w:left w:val="nil"/>
              <w:bottom w:val="nil"/>
              <w:right w:val="nil"/>
            </w:tcBorders>
            <w:shd w:val="clear" w:color="auto" w:fill="auto"/>
            <w:noWrap/>
            <w:vAlign w:val="bottom"/>
            <w:hideMark/>
          </w:tcPr>
          <w:p w14:paraId="0F97494E" w14:textId="562AED99" w:rsidR="00C26E34" w:rsidRPr="009F3325" w:rsidRDefault="00C26E34" w:rsidP="00C26E34">
            <w:pPr>
              <w:widowControl/>
              <w:autoSpaceDE/>
              <w:autoSpaceDN/>
              <w:ind w:firstLineChars="300" w:firstLine="660"/>
              <w:rPr>
                <w:lang w:val="es-ES_tradnl"/>
              </w:rPr>
            </w:pPr>
          </w:p>
        </w:tc>
      </w:tr>
      <w:tr w:rsidR="00C26E34" w:rsidRPr="009F3325" w14:paraId="5BD7A32F" w14:textId="77777777" w:rsidTr="00C26E34">
        <w:trPr>
          <w:trHeight w:val="20"/>
        </w:trPr>
        <w:tc>
          <w:tcPr>
            <w:tcW w:w="7297" w:type="dxa"/>
            <w:tcBorders>
              <w:top w:val="nil"/>
              <w:left w:val="nil"/>
              <w:bottom w:val="nil"/>
              <w:right w:val="nil"/>
            </w:tcBorders>
            <w:shd w:val="clear" w:color="auto" w:fill="auto"/>
            <w:noWrap/>
            <w:vAlign w:val="center"/>
            <w:hideMark/>
          </w:tcPr>
          <w:p w14:paraId="7644F24B" w14:textId="47E9E404" w:rsidR="00C26E34" w:rsidRPr="009F3325" w:rsidRDefault="00C26E34" w:rsidP="00C26E34">
            <w:pPr>
              <w:widowControl/>
              <w:autoSpaceDE/>
              <w:autoSpaceDN/>
              <w:ind w:leftChars="-49" w:left="24" w:hangingChars="60" w:hanging="132"/>
              <w:rPr>
                <w:lang w:val="es-ES_tradnl"/>
              </w:rPr>
            </w:pPr>
            <w:r w:rsidRPr="009F3325">
              <w:rPr>
                <w:lang w:val="es-ES_tradnl"/>
              </w:rPr>
              <w:t>Registros de los empleados</w:t>
            </w:r>
          </w:p>
        </w:tc>
        <w:tc>
          <w:tcPr>
            <w:tcW w:w="2063" w:type="dxa"/>
            <w:tcBorders>
              <w:top w:val="nil"/>
              <w:left w:val="nil"/>
              <w:bottom w:val="nil"/>
              <w:right w:val="nil"/>
            </w:tcBorders>
            <w:shd w:val="clear" w:color="auto" w:fill="auto"/>
            <w:noWrap/>
            <w:vAlign w:val="bottom"/>
            <w:hideMark/>
          </w:tcPr>
          <w:p w14:paraId="4E10213B" w14:textId="77777777" w:rsidR="00C26E34" w:rsidRPr="009F3325" w:rsidRDefault="00C26E34" w:rsidP="00C26E34">
            <w:pPr>
              <w:widowControl/>
              <w:autoSpaceDE/>
              <w:autoSpaceDN/>
              <w:rPr>
                <w:lang w:val="es-ES_tradnl"/>
              </w:rPr>
            </w:pPr>
          </w:p>
        </w:tc>
      </w:tr>
      <w:tr w:rsidR="00C26E34" w:rsidRPr="009F3325" w14:paraId="251DF509" w14:textId="77777777" w:rsidTr="00C26E34">
        <w:trPr>
          <w:trHeight w:val="20"/>
        </w:trPr>
        <w:tc>
          <w:tcPr>
            <w:tcW w:w="7297" w:type="dxa"/>
            <w:tcBorders>
              <w:top w:val="nil"/>
              <w:left w:val="nil"/>
              <w:bottom w:val="nil"/>
              <w:right w:val="nil"/>
            </w:tcBorders>
            <w:shd w:val="clear" w:color="auto" w:fill="auto"/>
            <w:noWrap/>
            <w:vAlign w:val="center"/>
            <w:hideMark/>
          </w:tcPr>
          <w:p w14:paraId="7A9C183D" w14:textId="30ED586C" w:rsidR="00C26E34" w:rsidRPr="009F3325" w:rsidRDefault="00C26E34" w:rsidP="00C26E34">
            <w:pPr>
              <w:widowControl/>
              <w:autoSpaceDE/>
              <w:autoSpaceDN/>
              <w:ind w:leftChars="-49" w:left="24" w:hangingChars="60" w:hanging="132"/>
              <w:rPr>
                <w:lang w:val="es-ES_tradnl"/>
              </w:rPr>
            </w:pPr>
            <w:r w:rsidRPr="009F3325">
              <w:rPr>
                <w:lang w:val="es-ES_tradnl"/>
              </w:rPr>
              <w:t>Acuerdos laborales y de terminación</w:t>
            </w:r>
          </w:p>
        </w:tc>
        <w:tc>
          <w:tcPr>
            <w:tcW w:w="2063" w:type="dxa"/>
            <w:tcBorders>
              <w:top w:val="nil"/>
              <w:left w:val="nil"/>
              <w:bottom w:val="nil"/>
              <w:right w:val="nil"/>
            </w:tcBorders>
            <w:shd w:val="clear" w:color="auto" w:fill="auto"/>
            <w:noWrap/>
            <w:vAlign w:val="center"/>
            <w:hideMark/>
          </w:tcPr>
          <w:p w14:paraId="515AD804" w14:textId="1C660785"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0F27266E" w14:textId="77777777" w:rsidTr="00C26E34">
        <w:trPr>
          <w:trHeight w:val="20"/>
        </w:trPr>
        <w:tc>
          <w:tcPr>
            <w:tcW w:w="7297" w:type="dxa"/>
            <w:tcBorders>
              <w:top w:val="nil"/>
              <w:left w:val="nil"/>
              <w:bottom w:val="nil"/>
              <w:right w:val="nil"/>
            </w:tcBorders>
            <w:shd w:val="clear" w:color="auto" w:fill="auto"/>
            <w:noWrap/>
            <w:vAlign w:val="center"/>
            <w:hideMark/>
          </w:tcPr>
          <w:p w14:paraId="094E1D1C" w14:textId="288AFE64" w:rsidR="00C26E34" w:rsidRPr="009F3325" w:rsidRDefault="00C26E34" w:rsidP="00C26E34">
            <w:pPr>
              <w:widowControl/>
              <w:autoSpaceDE/>
              <w:autoSpaceDN/>
              <w:ind w:leftChars="-49" w:left="24" w:hangingChars="60" w:hanging="132"/>
              <w:rPr>
                <w:lang w:val="es-ES_tradnl"/>
              </w:rPr>
            </w:pPr>
            <w:r w:rsidRPr="009F3325">
              <w:rPr>
                <w:lang w:val="es-ES_tradnl"/>
              </w:rPr>
              <w:t>Solicitudes de empleo</w:t>
            </w:r>
          </w:p>
        </w:tc>
        <w:tc>
          <w:tcPr>
            <w:tcW w:w="2063" w:type="dxa"/>
            <w:tcBorders>
              <w:top w:val="nil"/>
              <w:left w:val="nil"/>
              <w:bottom w:val="nil"/>
              <w:right w:val="nil"/>
            </w:tcBorders>
            <w:shd w:val="clear" w:color="auto" w:fill="auto"/>
            <w:noWrap/>
            <w:vAlign w:val="center"/>
            <w:hideMark/>
          </w:tcPr>
          <w:p w14:paraId="14BF6F8D" w14:textId="07F22DF2"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1D6C86A7" w14:textId="77777777" w:rsidTr="00C26E34">
        <w:trPr>
          <w:trHeight w:val="20"/>
        </w:trPr>
        <w:tc>
          <w:tcPr>
            <w:tcW w:w="7297" w:type="dxa"/>
            <w:tcBorders>
              <w:top w:val="nil"/>
              <w:left w:val="nil"/>
              <w:bottom w:val="nil"/>
              <w:right w:val="nil"/>
            </w:tcBorders>
            <w:shd w:val="clear" w:color="auto" w:fill="auto"/>
            <w:noWrap/>
            <w:vAlign w:val="center"/>
            <w:hideMark/>
          </w:tcPr>
          <w:p w14:paraId="6BF9F1E5" w14:textId="5E830041" w:rsidR="00C26E34" w:rsidRPr="009F3325" w:rsidRDefault="00C26E34" w:rsidP="00C26E34">
            <w:pPr>
              <w:widowControl/>
              <w:autoSpaceDE/>
              <w:autoSpaceDN/>
              <w:ind w:leftChars="-49" w:left="24" w:hangingChars="60" w:hanging="132"/>
              <w:rPr>
                <w:lang w:val="es-ES_tradnl"/>
              </w:rPr>
            </w:pPr>
            <w:r w:rsidRPr="009F3325">
              <w:rPr>
                <w:lang w:val="es-ES_tradnl"/>
              </w:rPr>
              <w:t>Registros de contratación (después de la decisión de contratación)</w:t>
            </w:r>
          </w:p>
        </w:tc>
        <w:tc>
          <w:tcPr>
            <w:tcW w:w="2063" w:type="dxa"/>
            <w:tcBorders>
              <w:top w:val="nil"/>
              <w:left w:val="nil"/>
              <w:bottom w:val="nil"/>
              <w:right w:val="nil"/>
            </w:tcBorders>
            <w:shd w:val="clear" w:color="auto" w:fill="auto"/>
            <w:noWrap/>
            <w:vAlign w:val="center"/>
            <w:hideMark/>
          </w:tcPr>
          <w:p w14:paraId="6EC1D746" w14:textId="3A35FC31" w:rsidR="00C26E34" w:rsidRPr="009F3325" w:rsidRDefault="00C26E34" w:rsidP="00C26E34">
            <w:pPr>
              <w:widowControl/>
              <w:autoSpaceDE/>
              <w:autoSpaceDN/>
              <w:ind w:firstLineChars="300" w:firstLine="660"/>
              <w:rPr>
                <w:lang w:val="es-ES_tradnl"/>
              </w:rPr>
            </w:pPr>
            <w:r w:rsidRPr="009F3325">
              <w:rPr>
                <w:lang w:val="es-ES_tradnl"/>
              </w:rPr>
              <w:t>1 año</w:t>
            </w:r>
          </w:p>
        </w:tc>
      </w:tr>
      <w:tr w:rsidR="00C26E34" w:rsidRPr="009F3325" w14:paraId="7CCBFFFD" w14:textId="77777777" w:rsidTr="00C26E34">
        <w:trPr>
          <w:trHeight w:val="20"/>
        </w:trPr>
        <w:tc>
          <w:tcPr>
            <w:tcW w:w="7297" w:type="dxa"/>
            <w:tcBorders>
              <w:top w:val="nil"/>
              <w:left w:val="nil"/>
              <w:bottom w:val="nil"/>
              <w:right w:val="nil"/>
            </w:tcBorders>
            <w:shd w:val="clear" w:color="auto" w:fill="auto"/>
            <w:noWrap/>
            <w:vAlign w:val="center"/>
            <w:hideMark/>
          </w:tcPr>
          <w:p w14:paraId="67766FA2" w14:textId="016CEE11" w:rsidR="00C26E34" w:rsidRPr="009F3325" w:rsidRDefault="00C26E34" w:rsidP="00C26E34">
            <w:pPr>
              <w:widowControl/>
              <w:autoSpaceDE/>
              <w:autoSpaceDN/>
              <w:ind w:leftChars="-49" w:left="24" w:hangingChars="60" w:hanging="132"/>
              <w:rPr>
                <w:lang w:val="es-ES_tradnl"/>
              </w:rPr>
            </w:pPr>
            <w:r w:rsidRPr="009F3325">
              <w:rPr>
                <w:lang w:val="es-ES_tradnl"/>
              </w:rPr>
              <w:t>Registros del personal de los empleados despedidos (desde el despido)</w:t>
            </w:r>
          </w:p>
        </w:tc>
        <w:tc>
          <w:tcPr>
            <w:tcW w:w="2063" w:type="dxa"/>
            <w:tcBorders>
              <w:top w:val="nil"/>
              <w:left w:val="nil"/>
              <w:bottom w:val="nil"/>
              <w:right w:val="nil"/>
            </w:tcBorders>
            <w:shd w:val="clear" w:color="auto" w:fill="auto"/>
            <w:noWrap/>
            <w:vAlign w:val="center"/>
            <w:hideMark/>
          </w:tcPr>
          <w:p w14:paraId="45A5982E" w14:textId="51A7FDEC" w:rsidR="00C26E34" w:rsidRPr="009F3325" w:rsidRDefault="00C26E34" w:rsidP="00C26E34">
            <w:pPr>
              <w:widowControl/>
              <w:autoSpaceDE/>
              <w:autoSpaceDN/>
              <w:ind w:firstLineChars="300" w:firstLine="660"/>
              <w:rPr>
                <w:lang w:val="es-ES_tradnl"/>
              </w:rPr>
            </w:pPr>
            <w:r w:rsidRPr="009F3325">
              <w:rPr>
                <w:lang w:val="es-ES_tradnl"/>
              </w:rPr>
              <w:t>5 años</w:t>
            </w:r>
          </w:p>
        </w:tc>
      </w:tr>
      <w:tr w:rsidR="00C26E34" w:rsidRPr="009F3325" w14:paraId="108DADE8" w14:textId="77777777" w:rsidTr="00C26E34">
        <w:trPr>
          <w:trHeight w:val="20"/>
        </w:trPr>
        <w:tc>
          <w:tcPr>
            <w:tcW w:w="7297" w:type="dxa"/>
            <w:tcBorders>
              <w:top w:val="nil"/>
              <w:left w:val="nil"/>
              <w:bottom w:val="nil"/>
              <w:right w:val="nil"/>
            </w:tcBorders>
            <w:shd w:val="clear" w:color="auto" w:fill="auto"/>
            <w:noWrap/>
            <w:vAlign w:val="center"/>
            <w:hideMark/>
          </w:tcPr>
          <w:p w14:paraId="3928809A" w14:textId="0C737711" w:rsidR="00C26E34" w:rsidRPr="009F3325" w:rsidRDefault="00C26E34" w:rsidP="00C26E34">
            <w:pPr>
              <w:widowControl/>
              <w:autoSpaceDE/>
              <w:autoSpaceDN/>
              <w:ind w:leftChars="-49" w:left="24" w:hangingChars="60" w:hanging="132"/>
              <w:rPr>
                <w:lang w:val="es-ES_tradnl"/>
              </w:rPr>
            </w:pPr>
            <w:r w:rsidRPr="009F3325">
              <w:rPr>
                <w:lang w:val="es-ES_tradnl"/>
              </w:rPr>
              <w:t>Documentos del Plan de Jubilación y Pensiones</w:t>
            </w:r>
          </w:p>
        </w:tc>
        <w:tc>
          <w:tcPr>
            <w:tcW w:w="2063" w:type="dxa"/>
            <w:tcBorders>
              <w:top w:val="nil"/>
              <w:left w:val="nil"/>
              <w:bottom w:val="nil"/>
              <w:right w:val="nil"/>
            </w:tcBorders>
            <w:shd w:val="clear" w:color="auto" w:fill="auto"/>
            <w:noWrap/>
            <w:vAlign w:val="center"/>
            <w:hideMark/>
          </w:tcPr>
          <w:p w14:paraId="61DA58CD" w14:textId="00091BCE" w:rsidR="00C26E34" w:rsidRPr="009F3325" w:rsidRDefault="00C26E34" w:rsidP="00C26E34">
            <w:pPr>
              <w:widowControl/>
              <w:autoSpaceDE/>
              <w:autoSpaceDN/>
              <w:ind w:firstLineChars="300" w:firstLine="660"/>
              <w:rPr>
                <w:lang w:val="es-ES_tradnl"/>
              </w:rPr>
            </w:pPr>
            <w:r w:rsidRPr="009F3325">
              <w:rPr>
                <w:lang w:val="es-ES_tradnl"/>
              </w:rPr>
              <w:t xml:space="preserve">Indefinido </w:t>
            </w:r>
          </w:p>
        </w:tc>
      </w:tr>
      <w:tr w:rsidR="00C26E34" w:rsidRPr="009F3325" w14:paraId="1B883F7B" w14:textId="77777777" w:rsidTr="00C26E34">
        <w:trPr>
          <w:trHeight w:val="20"/>
        </w:trPr>
        <w:tc>
          <w:tcPr>
            <w:tcW w:w="7297" w:type="dxa"/>
            <w:tcBorders>
              <w:top w:val="nil"/>
              <w:left w:val="nil"/>
              <w:bottom w:val="nil"/>
              <w:right w:val="nil"/>
            </w:tcBorders>
            <w:shd w:val="clear" w:color="auto" w:fill="auto"/>
            <w:noWrap/>
            <w:vAlign w:val="center"/>
            <w:hideMark/>
          </w:tcPr>
          <w:p w14:paraId="2655534E" w14:textId="53BFCD7D" w:rsidR="00C26E34" w:rsidRPr="009F3325" w:rsidRDefault="00C26E34" w:rsidP="00C26E34">
            <w:pPr>
              <w:widowControl/>
              <w:autoSpaceDE/>
              <w:autoSpaceDN/>
              <w:ind w:leftChars="-49" w:left="24" w:hangingChars="60" w:hanging="132"/>
              <w:rPr>
                <w:lang w:val="es-ES_tradnl"/>
              </w:rPr>
            </w:pPr>
            <w:r w:rsidRPr="009F3325">
              <w:rPr>
                <w:lang w:val="es-ES_tradnl"/>
              </w:rPr>
              <w:t>Registros relacionados con la promoción, la degradación o el despido (desde la terminación)</w:t>
            </w:r>
          </w:p>
        </w:tc>
        <w:tc>
          <w:tcPr>
            <w:tcW w:w="2063" w:type="dxa"/>
            <w:tcBorders>
              <w:top w:val="nil"/>
              <w:left w:val="nil"/>
              <w:bottom w:val="nil"/>
              <w:right w:val="nil"/>
            </w:tcBorders>
            <w:shd w:val="clear" w:color="auto" w:fill="auto"/>
            <w:noWrap/>
            <w:vAlign w:val="center"/>
            <w:hideMark/>
          </w:tcPr>
          <w:p w14:paraId="3269AFC1" w14:textId="76D1E592"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4517136D" w14:textId="77777777" w:rsidTr="00C26E34">
        <w:trPr>
          <w:trHeight w:val="20"/>
        </w:trPr>
        <w:tc>
          <w:tcPr>
            <w:tcW w:w="7297" w:type="dxa"/>
            <w:tcBorders>
              <w:top w:val="nil"/>
              <w:left w:val="nil"/>
              <w:bottom w:val="nil"/>
              <w:right w:val="nil"/>
            </w:tcBorders>
            <w:shd w:val="clear" w:color="auto" w:fill="auto"/>
            <w:noWrap/>
            <w:vAlign w:val="center"/>
            <w:hideMark/>
          </w:tcPr>
          <w:p w14:paraId="54F80648" w14:textId="6462CEAA" w:rsidR="00C26E34" w:rsidRPr="009F3325" w:rsidRDefault="00C26E34" w:rsidP="00C26E34">
            <w:pPr>
              <w:widowControl/>
              <w:autoSpaceDE/>
              <w:autoSpaceDN/>
              <w:ind w:leftChars="-49" w:left="24" w:hangingChars="60" w:hanging="132"/>
              <w:rPr>
                <w:lang w:val="es-ES_tradnl"/>
              </w:rPr>
            </w:pPr>
            <w:r w:rsidRPr="009F3325">
              <w:rPr>
                <w:lang w:val="es-ES_tradnl"/>
              </w:rPr>
              <w:t xml:space="preserve"> Registros médicos/beneficios</w:t>
            </w:r>
          </w:p>
        </w:tc>
        <w:tc>
          <w:tcPr>
            <w:tcW w:w="2063" w:type="dxa"/>
            <w:tcBorders>
              <w:top w:val="nil"/>
              <w:left w:val="nil"/>
              <w:bottom w:val="nil"/>
              <w:right w:val="nil"/>
            </w:tcBorders>
            <w:shd w:val="clear" w:color="auto" w:fill="auto"/>
            <w:noWrap/>
            <w:vAlign w:val="center"/>
            <w:hideMark/>
          </w:tcPr>
          <w:p w14:paraId="4A15E5A0" w14:textId="736314AF"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539EC38F" w14:textId="77777777" w:rsidTr="00C26E34">
        <w:trPr>
          <w:trHeight w:val="20"/>
        </w:trPr>
        <w:tc>
          <w:tcPr>
            <w:tcW w:w="7297" w:type="dxa"/>
            <w:tcBorders>
              <w:top w:val="nil"/>
              <w:left w:val="nil"/>
              <w:bottom w:val="nil"/>
              <w:right w:val="nil"/>
            </w:tcBorders>
            <w:shd w:val="clear" w:color="auto" w:fill="auto"/>
            <w:noWrap/>
            <w:vAlign w:val="center"/>
            <w:hideMark/>
          </w:tcPr>
          <w:p w14:paraId="21511072" w14:textId="20532A01" w:rsidR="00C26E34" w:rsidRPr="009F3325" w:rsidRDefault="00C26E34" w:rsidP="00C26E34">
            <w:pPr>
              <w:widowControl/>
              <w:autoSpaceDE/>
              <w:autoSpaceDN/>
              <w:ind w:leftChars="-49" w:left="24" w:hangingChars="60" w:hanging="132"/>
              <w:rPr>
                <w:lang w:val="es-ES_tradnl"/>
              </w:rPr>
            </w:pPr>
            <w:r w:rsidRPr="009F3325">
              <w:rPr>
                <w:lang w:val="es-ES_tradnl"/>
              </w:rPr>
              <w:t>Avisos de oportunidades laborales</w:t>
            </w:r>
          </w:p>
        </w:tc>
        <w:tc>
          <w:tcPr>
            <w:tcW w:w="2063" w:type="dxa"/>
            <w:tcBorders>
              <w:top w:val="nil"/>
              <w:left w:val="nil"/>
              <w:bottom w:val="nil"/>
              <w:right w:val="nil"/>
            </w:tcBorders>
            <w:shd w:val="clear" w:color="auto" w:fill="auto"/>
            <w:noWrap/>
            <w:vAlign w:val="center"/>
            <w:hideMark/>
          </w:tcPr>
          <w:p w14:paraId="3DF0A2B5" w14:textId="5DC461DD" w:rsidR="00C26E34" w:rsidRPr="009F3325" w:rsidRDefault="00C26E34" w:rsidP="00C26E34">
            <w:pPr>
              <w:widowControl/>
              <w:autoSpaceDE/>
              <w:autoSpaceDN/>
              <w:ind w:firstLineChars="300" w:firstLine="660"/>
              <w:rPr>
                <w:lang w:val="es-ES_tradnl"/>
              </w:rPr>
            </w:pPr>
            <w:r w:rsidRPr="009F3325">
              <w:rPr>
                <w:lang w:val="es-ES_tradnl"/>
              </w:rPr>
              <w:t>1 año</w:t>
            </w:r>
          </w:p>
        </w:tc>
      </w:tr>
      <w:tr w:rsidR="00C26E34" w:rsidRPr="009F3325" w14:paraId="5213122D" w14:textId="77777777" w:rsidTr="00C26E34">
        <w:trPr>
          <w:trHeight w:val="20"/>
        </w:trPr>
        <w:tc>
          <w:tcPr>
            <w:tcW w:w="7297" w:type="dxa"/>
            <w:tcBorders>
              <w:top w:val="nil"/>
              <w:left w:val="nil"/>
              <w:bottom w:val="nil"/>
              <w:right w:val="nil"/>
            </w:tcBorders>
            <w:shd w:val="clear" w:color="auto" w:fill="auto"/>
            <w:noWrap/>
            <w:vAlign w:val="center"/>
            <w:hideMark/>
          </w:tcPr>
          <w:p w14:paraId="0CC11B92" w14:textId="47987BD7" w:rsidR="00C26E34" w:rsidRPr="009F3325" w:rsidRDefault="00C26E34" w:rsidP="00C26E34">
            <w:pPr>
              <w:widowControl/>
              <w:autoSpaceDE/>
              <w:autoSpaceDN/>
              <w:ind w:leftChars="-49" w:left="24" w:hangingChars="60" w:hanging="132"/>
              <w:rPr>
                <w:lang w:val="es-ES_tradnl"/>
              </w:rPr>
            </w:pPr>
            <w:r w:rsidRPr="009F3325">
              <w:rPr>
                <w:lang w:val="es-ES_tradnl"/>
              </w:rPr>
              <w:t>Formularios I-9 (después de la terminación)</w:t>
            </w:r>
          </w:p>
        </w:tc>
        <w:tc>
          <w:tcPr>
            <w:tcW w:w="2063" w:type="dxa"/>
            <w:tcBorders>
              <w:top w:val="nil"/>
              <w:left w:val="nil"/>
              <w:bottom w:val="nil"/>
              <w:right w:val="nil"/>
            </w:tcBorders>
            <w:shd w:val="clear" w:color="auto" w:fill="auto"/>
            <w:noWrap/>
            <w:vAlign w:val="center"/>
            <w:hideMark/>
          </w:tcPr>
          <w:p w14:paraId="674B629D" w14:textId="39503914"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0CE0910A" w14:textId="77777777" w:rsidTr="00C26E34">
        <w:trPr>
          <w:trHeight w:val="20"/>
        </w:trPr>
        <w:tc>
          <w:tcPr>
            <w:tcW w:w="7297" w:type="dxa"/>
            <w:tcBorders>
              <w:top w:val="nil"/>
              <w:left w:val="nil"/>
              <w:bottom w:val="nil"/>
              <w:right w:val="nil"/>
            </w:tcBorders>
            <w:shd w:val="clear" w:color="auto" w:fill="auto"/>
            <w:noWrap/>
            <w:vAlign w:val="center"/>
            <w:hideMark/>
          </w:tcPr>
          <w:p w14:paraId="40AD2CD4" w14:textId="317F22CF" w:rsidR="00C26E34" w:rsidRPr="009F3325" w:rsidRDefault="00C26E34" w:rsidP="00C26E34">
            <w:pPr>
              <w:widowControl/>
              <w:autoSpaceDE/>
              <w:autoSpaceDN/>
              <w:ind w:leftChars="-49" w:left="24" w:hangingChars="60" w:hanging="132"/>
              <w:rPr>
                <w:lang w:val="es-ES_tradnl"/>
              </w:rPr>
            </w:pPr>
            <w:r w:rsidRPr="009F3325">
              <w:rPr>
                <w:lang w:val="es-ES_tradnl"/>
              </w:rPr>
              <w:t>Registro de horario de trabajo</w:t>
            </w:r>
          </w:p>
        </w:tc>
        <w:tc>
          <w:tcPr>
            <w:tcW w:w="2063" w:type="dxa"/>
            <w:tcBorders>
              <w:top w:val="nil"/>
              <w:left w:val="nil"/>
              <w:bottom w:val="nil"/>
              <w:right w:val="nil"/>
            </w:tcBorders>
            <w:shd w:val="clear" w:color="auto" w:fill="auto"/>
            <w:noWrap/>
            <w:vAlign w:val="center"/>
            <w:hideMark/>
          </w:tcPr>
          <w:p w14:paraId="4E9D8ABF" w14:textId="69CA3E91"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7818F827" w14:textId="77777777" w:rsidTr="00C26E34">
        <w:trPr>
          <w:trHeight w:val="20"/>
        </w:trPr>
        <w:tc>
          <w:tcPr>
            <w:tcW w:w="7297" w:type="dxa"/>
            <w:tcBorders>
              <w:top w:val="nil"/>
              <w:left w:val="nil"/>
              <w:bottom w:val="nil"/>
              <w:right w:val="nil"/>
            </w:tcBorders>
            <w:shd w:val="clear" w:color="auto" w:fill="auto"/>
            <w:noWrap/>
            <w:vAlign w:val="center"/>
            <w:hideMark/>
          </w:tcPr>
          <w:p w14:paraId="1E28E355" w14:textId="122C9B84" w:rsidR="00C26E34" w:rsidRPr="009F3325" w:rsidRDefault="00C26E34" w:rsidP="00C26E34">
            <w:pPr>
              <w:widowControl/>
              <w:autoSpaceDE/>
              <w:autoSpaceDN/>
              <w:ind w:leftChars="-49" w:left="24" w:hangingChars="60" w:hanging="132"/>
              <w:rPr>
                <w:lang w:val="es-ES_tradnl"/>
              </w:rPr>
            </w:pPr>
            <w:r w:rsidRPr="009F3325">
              <w:rPr>
                <w:lang w:val="es-ES_tradnl"/>
              </w:rPr>
              <w:t>Salarios establecidos</w:t>
            </w:r>
          </w:p>
        </w:tc>
        <w:tc>
          <w:tcPr>
            <w:tcW w:w="2063" w:type="dxa"/>
            <w:tcBorders>
              <w:top w:val="nil"/>
              <w:left w:val="nil"/>
              <w:bottom w:val="nil"/>
              <w:right w:val="nil"/>
            </w:tcBorders>
            <w:shd w:val="clear" w:color="auto" w:fill="auto"/>
            <w:noWrap/>
            <w:vAlign w:val="center"/>
            <w:hideMark/>
          </w:tcPr>
          <w:p w14:paraId="21A5FE49" w14:textId="6B3BA66F" w:rsidR="00C26E34" w:rsidRPr="009F3325" w:rsidRDefault="00C26E34" w:rsidP="00C26E34">
            <w:pPr>
              <w:widowControl/>
              <w:autoSpaceDE/>
              <w:autoSpaceDN/>
              <w:ind w:firstLineChars="300" w:firstLine="660"/>
              <w:rPr>
                <w:lang w:val="es-ES_tradnl"/>
              </w:rPr>
            </w:pPr>
            <w:r w:rsidRPr="009F3325">
              <w:rPr>
                <w:lang w:val="es-ES_tradnl"/>
              </w:rPr>
              <w:t>5 años</w:t>
            </w:r>
          </w:p>
        </w:tc>
      </w:tr>
      <w:tr w:rsidR="00C26E34" w:rsidRPr="009F3325" w14:paraId="66001BD9" w14:textId="77777777" w:rsidTr="00C26E34">
        <w:trPr>
          <w:trHeight w:val="20"/>
        </w:trPr>
        <w:tc>
          <w:tcPr>
            <w:tcW w:w="7297" w:type="dxa"/>
            <w:tcBorders>
              <w:top w:val="nil"/>
              <w:left w:val="nil"/>
              <w:bottom w:val="nil"/>
              <w:right w:val="nil"/>
            </w:tcBorders>
            <w:shd w:val="clear" w:color="auto" w:fill="auto"/>
            <w:noWrap/>
            <w:vAlign w:val="center"/>
            <w:hideMark/>
          </w:tcPr>
          <w:p w14:paraId="70F4F4DD" w14:textId="70207F1D" w:rsidR="00C26E34" w:rsidRPr="009F3325" w:rsidRDefault="00C26E34" w:rsidP="00C26E34">
            <w:pPr>
              <w:widowControl/>
              <w:autoSpaceDE/>
              <w:autoSpaceDN/>
              <w:ind w:leftChars="-49" w:left="24" w:hangingChars="60" w:hanging="132"/>
              <w:rPr>
                <w:lang w:val="es-ES_tradnl"/>
              </w:rPr>
            </w:pPr>
            <w:r w:rsidRPr="009F3325">
              <w:rPr>
                <w:lang w:val="es-ES_tradnl"/>
              </w:rPr>
              <w:t>Registros FMLA</w:t>
            </w:r>
          </w:p>
        </w:tc>
        <w:tc>
          <w:tcPr>
            <w:tcW w:w="2063" w:type="dxa"/>
            <w:tcBorders>
              <w:top w:val="nil"/>
              <w:left w:val="nil"/>
              <w:bottom w:val="nil"/>
              <w:right w:val="nil"/>
            </w:tcBorders>
            <w:shd w:val="clear" w:color="auto" w:fill="auto"/>
            <w:noWrap/>
            <w:vAlign w:val="center"/>
            <w:hideMark/>
          </w:tcPr>
          <w:p w14:paraId="0062B681" w14:textId="4C652C7A"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5442FE15" w14:textId="77777777" w:rsidTr="00C26E34">
        <w:trPr>
          <w:trHeight w:val="20"/>
        </w:trPr>
        <w:tc>
          <w:tcPr>
            <w:tcW w:w="7297" w:type="dxa"/>
            <w:tcBorders>
              <w:top w:val="nil"/>
              <w:left w:val="nil"/>
              <w:bottom w:val="nil"/>
              <w:right w:val="nil"/>
            </w:tcBorders>
            <w:shd w:val="clear" w:color="auto" w:fill="auto"/>
            <w:noWrap/>
            <w:vAlign w:val="center"/>
            <w:hideMark/>
          </w:tcPr>
          <w:p w14:paraId="2D393B63" w14:textId="5456E1CE" w:rsidR="00C26E34" w:rsidRPr="009F3325" w:rsidRDefault="00C26E34" w:rsidP="00C26E34">
            <w:pPr>
              <w:widowControl/>
              <w:autoSpaceDE/>
              <w:autoSpaceDN/>
              <w:ind w:leftChars="-49" w:left="24" w:hangingChars="60" w:hanging="132"/>
              <w:rPr>
                <w:lang w:val="es-ES_tradnl"/>
              </w:rPr>
            </w:pPr>
            <w:r w:rsidRPr="009F3325">
              <w:rPr>
                <w:lang w:val="es-ES_tradnl"/>
              </w:rPr>
              <w:t>Informes de accidentes y registros de indemnizaciones laborales</w:t>
            </w:r>
          </w:p>
        </w:tc>
        <w:tc>
          <w:tcPr>
            <w:tcW w:w="2063" w:type="dxa"/>
            <w:tcBorders>
              <w:top w:val="nil"/>
              <w:left w:val="nil"/>
              <w:bottom w:val="nil"/>
              <w:right w:val="nil"/>
            </w:tcBorders>
            <w:shd w:val="clear" w:color="auto" w:fill="auto"/>
            <w:noWrap/>
            <w:vAlign w:val="center"/>
            <w:hideMark/>
          </w:tcPr>
          <w:p w14:paraId="07A807E1" w14:textId="49942905" w:rsidR="00C26E34" w:rsidRPr="009F3325" w:rsidRDefault="00C26E34" w:rsidP="00C26E34">
            <w:pPr>
              <w:widowControl/>
              <w:autoSpaceDE/>
              <w:autoSpaceDN/>
              <w:ind w:firstLineChars="300" w:firstLine="660"/>
              <w:rPr>
                <w:lang w:val="es-ES_tradnl"/>
              </w:rPr>
            </w:pPr>
            <w:r w:rsidRPr="009F3325">
              <w:rPr>
                <w:lang w:val="es-ES_tradnl"/>
              </w:rPr>
              <w:t>5 años</w:t>
            </w:r>
          </w:p>
        </w:tc>
      </w:tr>
      <w:tr w:rsidR="00C26E34" w:rsidRPr="009F3325" w14:paraId="2978E7F7" w14:textId="77777777" w:rsidTr="00C26E34">
        <w:trPr>
          <w:trHeight w:val="20"/>
        </w:trPr>
        <w:tc>
          <w:tcPr>
            <w:tcW w:w="7297" w:type="dxa"/>
            <w:tcBorders>
              <w:top w:val="nil"/>
              <w:left w:val="nil"/>
              <w:bottom w:val="nil"/>
              <w:right w:val="nil"/>
            </w:tcBorders>
            <w:shd w:val="clear" w:color="auto" w:fill="auto"/>
            <w:noWrap/>
            <w:vAlign w:val="center"/>
            <w:hideMark/>
          </w:tcPr>
          <w:p w14:paraId="291A4013" w14:textId="53F675E3" w:rsidR="00C26E34" w:rsidRPr="009F3325" w:rsidRDefault="00C26E34" w:rsidP="00C26E34">
            <w:pPr>
              <w:widowControl/>
              <w:autoSpaceDE/>
              <w:autoSpaceDN/>
              <w:ind w:leftChars="-49" w:left="24" w:hangingChars="60" w:hanging="132"/>
              <w:rPr>
                <w:lang w:val="es-ES_tradnl"/>
              </w:rPr>
            </w:pPr>
          </w:p>
        </w:tc>
        <w:tc>
          <w:tcPr>
            <w:tcW w:w="2063" w:type="dxa"/>
            <w:tcBorders>
              <w:top w:val="nil"/>
              <w:left w:val="nil"/>
              <w:bottom w:val="nil"/>
              <w:right w:val="nil"/>
            </w:tcBorders>
            <w:shd w:val="clear" w:color="auto" w:fill="auto"/>
            <w:noWrap/>
            <w:vAlign w:val="bottom"/>
            <w:hideMark/>
          </w:tcPr>
          <w:p w14:paraId="6F18E793" w14:textId="311573D6" w:rsidR="00C26E34" w:rsidRPr="009F3325" w:rsidRDefault="00C26E34" w:rsidP="00C26E34">
            <w:pPr>
              <w:widowControl/>
              <w:autoSpaceDE/>
              <w:autoSpaceDN/>
              <w:ind w:firstLineChars="300" w:firstLine="660"/>
              <w:rPr>
                <w:lang w:val="es-ES_tradnl"/>
              </w:rPr>
            </w:pPr>
          </w:p>
        </w:tc>
      </w:tr>
      <w:tr w:rsidR="00C26E34" w:rsidRPr="009F3325" w14:paraId="76C5FDB9" w14:textId="77777777" w:rsidTr="00C26E34">
        <w:trPr>
          <w:trHeight w:val="20"/>
        </w:trPr>
        <w:tc>
          <w:tcPr>
            <w:tcW w:w="7297" w:type="dxa"/>
            <w:tcBorders>
              <w:top w:val="nil"/>
              <w:left w:val="nil"/>
              <w:bottom w:val="nil"/>
              <w:right w:val="nil"/>
            </w:tcBorders>
            <w:shd w:val="clear" w:color="auto" w:fill="auto"/>
            <w:noWrap/>
            <w:vAlign w:val="center"/>
            <w:hideMark/>
          </w:tcPr>
          <w:p w14:paraId="1E67C86C" w14:textId="4F684FA1" w:rsidR="00C26E34" w:rsidRPr="009F3325" w:rsidRDefault="00C26E34" w:rsidP="00C26E34">
            <w:pPr>
              <w:widowControl/>
              <w:autoSpaceDE/>
              <w:autoSpaceDN/>
              <w:ind w:leftChars="-49" w:left="24" w:hangingChars="60" w:hanging="132"/>
              <w:rPr>
                <w:lang w:val="es-ES_tradnl"/>
              </w:rPr>
            </w:pPr>
            <w:r w:rsidRPr="009F3325">
              <w:rPr>
                <w:lang w:val="es-ES_tradnl"/>
              </w:rPr>
              <w:t>Documentos de transporte, tráfico, embarque y agencia</w:t>
            </w:r>
          </w:p>
        </w:tc>
        <w:tc>
          <w:tcPr>
            <w:tcW w:w="2063" w:type="dxa"/>
            <w:tcBorders>
              <w:top w:val="nil"/>
              <w:left w:val="nil"/>
              <w:bottom w:val="nil"/>
              <w:right w:val="nil"/>
            </w:tcBorders>
            <w:shd w:val="clear" w:color="auto" w:fill="auto"/>
            <w:noWrap/>
            <w:vAlign w:val="bottom"/>
            <w:hideMark/>
          </w:tcPr>
          <w:p w14:paraId="0E809AF9" w14:textId="77777777" w:rsidR="00C26E34" w:rsidRPr="009F3325" w:rsidRDefault="00C26E34" w:rsidP="00C26E34">
            <w:pPr>
              <w:widowControl/>
              <w:autoSpaceDE/>
              <w:autoSpaceDN/>
              <w:rPr>
                <w:lang w:val="es-ES_tradnl"/>
              </w:rPr>
            </w:pPr>
          </w:p>
        </w:tc>
      </w:tr>
      <w:tr w:rsidR="00C26E34" w:rsidRPr="009F3325" w14:paraId="0F31161A" w14:textId="77777777" w:rsidTr="00C26E34">
        <w:trPr>
          <w:trHeight w:val="20"/>
        </w:trPr>
        <w:tc>
          <w:tcPr>
            <w:tcW w:w="7297" w:type="dxa"/>
            <w:tcBorders>
              <w:top w:val="nil"/>
              <w:left w:val="nil"/>
              <w:bottom w:val="nil"/>
              <w:right w:val="nil"/>
            </w:tcBorders>
            <w:shd w:val="clear" w:color="auto" w:fill="auto"/>
            <w:noWrap/>
            <w:vAlign w:val="center"/>
            <w:hideMark/>
          </w:tcPr>
          <w:p w14:paraId="24A3960C" w14:textId="3B04DFAF" w:rsidR="00C26E34" w:rsidRPr="009F3325" w:rsidRDefault="00C26E34" w:rsidP="00C26E34">
            <w:pPr>
              <w:widowControl/>
              <w:autoSpaceDE/>
              <w:autoSpaceDN/>
              <w:ind w:leftChars="-49" w:left="24" w:hangingChars="60" w:hanging="132"/>
              <w:rPr>
                <w:lang w:val="es-ES_tradnl"/>
              </w:rPr>
            </w:pPr>
            <w:r w:rsidRPr="009F3325">
              <w:rPr>
                <w:lang w:val="es-ES_tradnl"/>
              </w:rPr>
              <w:t>Facturas de fletes, conocimientos de embarque/cartas de porte y liberaciones</w:t>
            </w:r>
          </w:p>
        </w:tc>
        <w:tc>
          <w:tcPr>
            <w:tcW w:w="2063" w:type="dxa"/>
            <w:tcBorders>
              <w:top w:val="nil"/>
              <w:left w:val="nil"/>
              <w:bottom w:val="nil"/>
              <w:right w:val="nil"/>
            </w:tcBorders>
            <w:shd w:val="clear" w:color="auto" w:fill="auto"/>
            <w:noWrap/>
            <w:vAlign w:val="center"/>
            <w:hideMark/>
          </w:tcPr>
          <w:p w14:paraId="32C01D4E" w14:textId="4506027B" w:rsidR="00C26E34" w:rsidRPr="009F3325" w:rsidRDefault="00C26E34" w:rsidP="00C26E34">
            <w:pPr>
              <w:widowControl/>
              <w:autoSpaceDE/>
              <w:autoSpaceDN/>
              <w:ind w:firstLineChars="300" w:firstLine="660"/>
              <w:rPr>
                <w:lang w:val="es-ES_tradnl"/>
              </w:rPr>
            </w:pPr>
            <w:r w:rsidRPr="009F3325">
              <w:rPr>
                <w:lang w:val="es-ES_tradnl"/>
              </w:rPr>
              <w:t>6 años</w:t>
            </w:r>
          </w:p>
        </w:tc>
      </w:tr>
      <w:tr w:rsidR="00C26E34" w:rsidRPr="009F3325" w14:paraId="63D4FB63" w14:textId="77777777" w:rsidTr="00C26E34">
        <w:trPr>
          <w:trHeight w:val="20"/>
        </w:trPr>
        <w:tc>
          <w:tcPr>
            <w:tcW w:w="7297" w:type="dxa"/>
            <w:tcBorders>
              <w:top w:val="nil"/>
              <w:left w:val="nil"/>
              <w:bottom w:val="nil"/>
              <w:right w:val="nil"/>
            </w:tcBorders>
            <w:shd w:val="clear" w:color="auto" w:fill="auto"/>
            <w:noWrap/>
            <w:vAlign w:val="center"/>
            <w:hideMark/>
          </w:tcPr>
          <w:p w14:paraId="692991F9" w14:textId="6FC3AFA6" w:rsidR="00C26E34" w:rsidRPr="009F3325" w:rsidRDefault="00C26E34" w:rsidP="00C26E34">
            <w:pPr>
              <w:widowControl/>
              <w:autoSpaceDE/>
              <w:autoSpaceDN/>
              <w:ind w:leftChars="-49" w:left="24" w:hangingChars="60" w:hanging="132"/>
              <w:rPr>
                <w:lang w:val="es-ES_tradnl"/>
              </w:rPr>
            </w:pPr>
            <w:r w:rsidRPr="009F3325">
              <w:rPr>
                <w:lang w:val="es-ES_tradnl"/>
              </w:rPr>
              <w:t>Registros de importación y exportación</w:t>
            </w:r>
          </w:p>
        </w:tc>
        <w:tc>
          <w:tcPr>
            <w:tcW w:w="2063" w:type="dxa"/>
            <w:tcBorders>
              <w:top w:val="nil"/>
              <w:left w:val="nil"/>
              <w:bottom w:val="nil"/>
              <w:right w:val="nil"/>
            </w:tcBorders>
            <w:shd w:val="clear" w:color="auto" w:fill="auto"/>
            <w:noWrap/>
            <w:vAlign w:val="center"/>
            <w:hideMark/>
          </w:tcPr>
          <w:p w14:paraId="7AD1F5F0" w14:textId="7C717915" w:rsidR="00C26E34" w:rsidRPr="009F3325" w:rsidRDefault="00C26E34" w:rsidP="00C26E34">
            <w:pPr>
              <w:widowControl/>
              <w:autoSpaceDE/>
              <w:autoSpaceDN/>
              <w:ind w:firstLineChars="300" w:firstLine="660"/>
              <w:rPr>
                <w:lang w:val="es-ES_tradnl"/>
              </w:rPr>
            </w:pPr>
            <w:r w:rsidRPr="009F3325">
              <w:rPr>
                <w:lang w:val="es-ES_tradnl"/>
              </w:rPr>
              <w:t>7 años</w:t>
            </w:r>
          </w:p>
        </w:tc>
      </w:tr>
      <w:tr w:rsidR="00C26E34" w:rsidRPr="009F3325" w14:paraId="080327B5" w14:textId="77777777" w:rsidTr="00C26E34">
        <w:trPr>
          <w:trHeight w:val="20"/>
        </w:trPr>
        <w:tc>
          <w:tcPr>
            <w:tcW w:w="7297" w:type="dxa"/>
            <w:tcBorders>
              <w:top w:val="nil"/>
              <w:left w:val="nil"/>
              <w:bottom w:val="nil"/>
              <w:right w:val="nil"/>
            </w:tcBorders>
            <w:shd w:val="clear" w:color="auto" w:fill="auto"/>
            <w:noWrap/>
            <w:vAlign w:val="center"/>
            <w:hideMark/>
          </w:tcPr>
          <w:p w14:paraId="7CBCE0E6" w14:textId="15268F76" w:rsidR="00C26E34" w:rsidRPr="009F3325" w:rsidRDefault="00C26E34" w:rsidP="00C26E34">
            <w:pPr>
              <w:widowControl/>
              <w:autoSpaceDE/>
              <w:autoSpaceDN/>
              <w:ind w:leftChars="-49" w:left="24" w:hangingChars="60" w:hanging="132"/>
              <w:rPr>
                <w:lang w:val="es-ES_tradnl"/>
              </w:rPr>
            </w:pPr>
            <w:r w:rsidRPr="009F3325">
              <w:rPr>
                <w:lang w:val="es-ES_tradnl"/>
              </w:rPr>
              <w:t>Otros registros de fletes (registros de fletes recibidos, enviados y entregados)</w:t>
            </w:r>
          </w:p>
        </w:tc>
        <w:tc>
          <w:tcPr>
            <w:tcW w:w="2063" w:type="dxa"/>
            <w:tcBorders>
              <w:top w:val="nil"/>
              <w:left w:val="nil"/>
              <w:bottom w:val="nil"/>
              <w:right w:val="nil"/>
            </w:tcBorders>
            <w:shd w:val="clear" w:color="auto" w:fill="auto"/>
            <w:noWrap/>
            <w:vAlign w:val="center"/>
            <w:hideMark/>
          </w:tcPr>
          <w:p w14:paraId="750CD2E2" w14:textId="3BAE40F6" w:rsidR="00C26E34" w:rsidRPr="009F3325" w:rsidRDefault="00C26E34" w:rsidP="00C26E34">
            <w:pPr>
              <w:widowControl/>
              <w:autoSpaceDE/>
              <w:autoSpaceDN/>
              <w:ind w:firstLineChars="300" w:firstLine="660"/>
              <w:rPr>
                <w:lang w:val="es-ES_tradnl"/>
              </w:rPr>
            </w:pPr>
            <w:r w:rsidRPr="009F3325">
              <w:rPr>
                <w:lang w:val="es-ES_tradnl"/>
              </w:rPr>
              <w:t xml:space="preserve">6 años </w:t>
            </w:r>
          </w:p>
        </w:tc>
      </w:tr>
      <w:tr w:rsidR="00C26E34" w:rsidRPr="009F3325" w14:paraId="29E7DD8B" w14:textId="77777777" w:rsidTr="00C26E34">
        <w:trPr>
          <w:trHeight w:val="20"/>
        </w:trPr>
        <w:tc>
          <w:tcPr>
            <w:tcW w:w="7297" w:type="dxa"/>
            <w:tcBorders>
              <w:top w:val="nil"/>
              <w:left w:val="nil"/>
              <w:bottom w:val="nil"/>
              <w:right w:val="nil"/>
            </w:tcBorders>
            <w:shd w:val="clear" w:color="auto" w:fill="auto"/>
            <w:noWrap/>
            <w:vAlign w:val="center"/>
            <w:hideMark/>
          </w:tcPr>
          <w:p w14:paraId="7C170B1D" w14:textId="1C05B8F5" w:rsidR="00C26E34" w:rsidRPr="009F3325" w:rsidRDefault="00C26E34" w:rsidP="00C26E34">
            <w:pPr>
              <w:widowControl/>
              <w:autoSpaceDE/>
              <w:autoSpaceDN/>
              <w:ind w:leftChars="-49" w:left="24" w:hangingChars="60" w:hanging="132"/>
              <w:rPr>
                <w:lang w:val="es-ES_tradnl"/>
              </w:rPr>
            </w:pPr>
            <w:r w:rsidRPr="009F3325">
              <w:rPr>
                <w:lang w:val="es-ES_tradnl"/>
              </w:rPr>
              <w:t>Contratos de envío (después del vencimiento)</w:t>
            </w:r>
          </w:p>
        </w:tc>
        <w:tc>
          <w:tcPr>
            <w:tcW w:w="2063" w:type="dxa"/>
            <w:tcBorders>
              <w:top w:val="nil"/>
              <w:left w:val="nil"/>
              <w:bottom w:val="nil"/>
              <w:right w:val="nil"/>
            </w:tcBorders>
            <w:shd w:val="clear" w:color="auto" w:fill="auto"/>
            <w:noWrap/>
            <w:vAlign w:val="center"/>
            <w:hideMark/>
          </w:tcPr>
          <w:p w14:paraId="1B1258DD" w14:textId="55AAFD42"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13C039F1" w14:textId="77777777" w:rsidTr="00C26E34">
        <w:trPr>
          <w:trHeight w:val="20"/>
        </w:trPr>
        <w:tc>
          <w:tcPr>
            <w:tcW w:w="7297" w:type="dxa"/>
            <w:tcBorders>
              <w:top w:val="nil"/>
              <w:left w:val="nil"/>
              <w:bottom w:val="nil"/>
              <w:right w:val="nil"/>
            </w:tcBorders>
            <w:shd w:val="clear" w:color="auto" w:fill="auto"/>
            <w:noWrap/>
            <w:vAlign w:val="center"/>
            <w:hideMark/>
          </w:tcPr>
          <w:p w14:paraId="3F2AED5F" w14:textId="5DA17A83" w:rsidR="00C26E34" w:rsidRPr="009F3325" w:rsidRDefault="00C26E34" w:rsidP="00C26E34">
            <w:pPr>
              <w:widowControl/>
              <w:autoSpaceDE/>
              <w:autoSpaceDN/>
              <w:ind w:leftChars="-49" w:left="24" w:hangingChars="60" w:hanging="132"/>
              <w:rPr>
                <w:lang w:val="es-ES_tradnl"/>
              </w:rPr>
            </w:pPr>
            <w:r w:rsidRPr="009F3325">
              <w:rPr>
                <w:lang w:val="es-ES_tradnl"/>
              </w:rPr>
              <w:t xml:space="preserve">Archivos del conductor, incluidos los archivos de calificación del conductor, los registros de horas de servicio y de las pruebas de sustancias y alcohol </w:t>
            </w:r>
          </w:p>
        </w:tc>
        <w:tc>
          <w:tcPr>
            <w:tcW w:w="2063" w:type="dxa"/>
            <w:tcBorders>
              <w:top w:val="nil"/>
              <w:left w:val="nil"/>
              <w:bottom w:val="nil"/>
              <w:right w:val="nil"/>
            </w:tcBorders>
            <w:shd w:val="clear" w:color="auto" w:fill="auto"/>
            <w:noWrap/>
            <w:vAlign w:val="center"/>
            <w:hideMark/>
          </w:tcPr>
          <w:p w14:paraId="6CE1211D" w14:textId="0AD7A2D4" w:rsidR="00C26E34" w:rsidRPr="009F3325" w:rsidRDefault="00C26E34" w:rsidP="00C26E34">
            <w:pPr>
              <w:widowControl/>
              <w:autoSpaceDE/>
              <w:autoSpaceDN/>
              <w:ind w:firstLineChars="300" w:firstLine="660"/>
              <w:rPr>
                <w:lang w:val="es-ES_tradnl"/>
              </w:rPr>
            </w:pPr>
            <w:r w:rsidRPr="009F3325">
              <w:rPr>
                <w:lang w:val="es-ES_tradnl"/>
              </w:rPr>
              <w:t>3 años</w:t>
            </w:r>
          </w:p>
        </w:tc>
      </w:tr>
      <w:tr w:rsidR="00C26E34" w:rsidRPr="009F3325" w14:paraId="3B195511" w14:textId="77777777" w:rsidTr="00C26E34">
        <w:trPr>
          <w:trHeight w:val="20"/>
        </w:trPr>
        <w:tc>
          <w:tcPr>
            <w:tcW w:w="7297" w:type="dxa"/>
            <w:tcBorders>
              <w:top w:val="nil"/>
              <w:left w:val="nil"/>
              <w:bottom w:val="nil"/>
              <w:right w:val="nil"/>
            </w:tcBorders>
            <w:shd w:val="clear" w:color="auto" w:fill="auto"/>
            <w:noWrap/>
            <w:vAlign w:val="center"/>
            <w:hideMark/>
          </w:tcPr>
          <w:p w14:paraId="507B9550" w14:textId="16E5D466" w:rsidR="00C26E34" w:rsidRPr="009F3325" w:rsidRDefault="00C26E34" w:rsidP="00C26E34">
            <w:pPr>
              <w:widowControl/>
              <w:autoSpaceDE/>
              <w:autoSpaceDN/>
              <w:ind w:leftChars="-49" w:left="24" w:hangingChars="60" w:hanging="132"/>
              <w:rPr>
                <w:lang w:val="es-ES_tradnl"/>
              </w:rPr>
            </w:pPr>
            <w:r w:rsidRPr="009F3325">
              <w:rPr>
                <w:lang w:val="es-ES_tradnl"/>
              </w:rPr>
              <w:t xml:space="preserve">Duración del empleo más </w:t>
            </w:r>
          </w:p>
        </w:tc>
        <w:tc>
          <w:tcPr>
            <w:tcW w:w="2063" w:type="dxa"/>
            <w:tcBorders>
              <w:top w:val="nil"/>
              <w:left w:val="nil"/>
              <w:bottom w:val="nil"/>
              <w:right w:val="nil"/>
            </w:tcBorders>
            <w:shd w:val="clear" w:color="auto" w:fill="auto"/>
            <w:noWrap/>
            <w:vAlign w:val="bottom"/>
            <w:hideMark/>
          </w:tcPr>
          <w:p w14:paraId="301BF1D5" w14:textId="096A544B" w:rsidR="00C26E34" w:rsidRPr="009F3325" w:rsidRDefault="00C26E34" w:rsidP="00C26E34">
            <w:pPr>
              <w:widowControl/>
              <w:autoSpaceDE/>
              <w:autoSpaceDN/>
              <w:ind w:firstLineChars="300" w:firstLine="660"/>
              <w:rPr>
                <w:lang w:val="es-ES_tradnl"/>
              </w:rPr>
            </w:pPr>
          </w:p>
        </w:tc>
      </w:tr>
    </w:tbl>
    <w:p w14:paraId="0A27633A" w14:textId="77777777" w:rsidR="00C26E34" w:rsidRPr="009F3325" w:rsidRDefault="00C26E34">
      <w:pPr>
        <w:spacing w:line="237" w:lineRule="auto"/>
        <w:rPr>
          <w:lang w:val="es-ES_tradnl"/>
        </w:rPr>
        <w:sectPr w:rsidR="00C26E34" w:rsidRPr="009F3325">
          <w:headerReference w:type="default" r:id="rId9"/>
          <w:pgSz w:w="12240" w:h="15840"/>
          <w:pgMar w:top="1980" w:right="60" w:bottom="280" w:left="900" w:header="667" w:footer="0" w:gutter="0"/>
          <w:cols w:space="720"/>
        </w:sectPr>
      </w:pPr>
    </w:p>
    <w:tbl>
      <w:tblPr>
        <w:tblW w:w="9365" w:type="dxa"/>
        <w:tblInd w:w="675" w:type="dxa"/>
        <w:tblLook w:val="04A0" w:firstRow="1" w:lastRow="0" w:firstColumn="1" w:lastColumn="0" w:noHBand="0" w:noVBand="1"/>
      </w:tblPr>
      <w:tblGrid>
        <w:gridCol w:w="7221"/>
        <w:gridCol w:w="2428"/>
      </w:tblGrid>
      <w:tr w:rsidR="003F56A3" w:rsidRPr="009F3325" w14:paraId="5D230752" w14:textId="77777777" w:rsidTr="003F56A3">
        <w:trPr>
          <w:trHeight w:val="20"/>
        </w:trPr>
        <w:tc>
          <w:tcPr>
            <w:tcW w:w="7221" w:type="dxa"/>
            <w:tcBorders>
              <w:top w:val="nil"/>
              <w:left w:val="nil"/>
              <w:bottom w:val="nil"/>
              <w:right w:val="nil"/>
            </w:tcBorders>
            <w:shd w:val="clear" w:color="auto" w:fill="auto"/>
            <w:vAlign w:val="bottom"/>
            <w:hideMark/>
          </w:tcPr>
          <w:p w14:paraId="769B110A" w14:textId="77777777" w:rsidR="003F56A3" w:rsidRPr="009F3325" w:rsidRDefault="003F56A3" w:rsidP="003F56A3">
            <w:pPr>
              <w:widowControl/>
              <w:autoSpaceDE/>
              <w:autoSpaceDN/>
              <w:rPr>
                <w:color w:val="000000"/>
                <w:lang w:val="es-ES_tradnl"/>
              </w:rPr>
            </w:pPr>
            <w:r w:rsidRPr="009F3325">
              <w:rPr>
                <w:color w:val="000000"/>
                <w:lang w:val="es-ES_tradnl"/>
              </w:rPr>
              <w:lastRenderedPageBreak/>
              <w:t>Archivos del vehículo, incluidos los registros de mantenimiento del vehículo, los informes de inspección y los registros de accidentes/incidentes</w:t>
            </w:r>
          </w:p>
        </w:tc>
        <w:tc>
          <w:tcPr>
            <w:tcW w:w="2139" w:type="dxa"/>
            <w:tcBorders>
              <w:top w:val="nil"/>
              <w:left w:val="nil"/>
              <w:bottom w:val="nil"/>
              <w:right w:val="nil"/>
            </w:tcBorders>
            <w:shd w:val="clear" w:color="auto" w:fill="auto"/>
            <w:vAlign w:val="bottom"/>
            <w:hideMark/>
          </w:tcPr>
          <w:p w14:paraId="35E995C2" w14:textId="0A121A9C" w:rsidR="003F56A3" w:rsidRPr="009F3325" w:rsidRDefault="003F56A3" w:rsidP="003F56A3">
            <w:pPr>
              <w:widowControl/>
              <w:autoSpaceDE/>
              <w:autoSpaceDN/>
              <w:rPr>
                <w:color w:val="000000"/>
                <w:lang w:val="es-ES_tradnl"/>
              </w:rPr>
            </w:pPr>
            <w:r w:rsidRPr="009F3325">
              <w:rPr>
                <w:color w:val="000000"/>
                <w:lang w:val="es-ES_tradnl"/>
              </w:rPr>
              <w:t xml:space="preserve">Duración del título de propiedad/arrendamiento del vehículo más 3 años </w:t>
            </w:r>
          </w:p>
        </w:tc>
      </w:tr>
      <w:tr w:rsidR="003F56A3" w:rsidRPr="009F3325" w14:paraId="482DB5F6" w14:textId="77777777" w:rsidTr="003F56A3">
        <w:trPr>
          <w:trHeight w:val="20"/>
        </w:trPr>
        <w:tc>
          <w:tcPr>
            <w:tcW w:w="7221" w:type="dxa"/>
            <w:tcBorders>
              <w:top w:val="nil"/>
              <w:left w:val="nil"/>
              <w:bottom w:val="nil"/>
              <w:right w:val="nil"/>
            </w:tcBorders>
            <w:shd w:val="clear" w:color="auto" w:fill="auto"/>
            <w:noWrap/>
            <w:vAlign w:val="bottom"/>
            <w:hideMark/>
          </w:tcPr>
          <w:p w14:paraId="23DCB872" w14:textId="7D8B519A" w:rsidR="003F56A3" w:rsidRPr="009F3325" w:rsidRDefault="003F56A3" w:rsidP="003F56A3">
            <w:pPr>
              <w:widowControl/>
              <w:autoSpaceDE/>
              <w:autoSpaceDN/>
              <w:rPr>
                <w:color w:val="000000"/>
                <w:lang w:val="es-ES_tradnl"/>
              </w:rPr>
            </w:pPr>
            <w:r w:rsidRPr="009F3325">
              <w:rPr>
                <w:color w:val="000000"/>
                <w:lang w:val="es-ES_tradnl"/>
              </w:rPr>
              <w:t>Registros de auditoría del Departamento de Transportes (DOT)</w:t>
            </w:r>
          </w:p>
        </w:tc>
        <w:tc>
          <w:tcPr>
            <w:tcW w:w="2139" w:type="dxa"/>
            <w:tcBorders>
              <w:top w:val="nil"/>
              <w:left w:val="nil"/>
              <w:bottom w:val="nil"/>
              <w:right w:val="nil"/>
            </w:tcBorders>
            <w:shd w:val="clear" w:color="auto" w:fill="auto"/>
            <w:vAlign w:val="bottom"/>
            <w:hideMark/>
          </w:tcPr>
          <w:p w14:paraId="659CB737" w14:textId="77777777" w:rsidR="003F56A3" w:rsidRPr="009F3325" w:rsidRDefault="003F56A3" w:rsidP="003F56A3">
            <w:pPr>
              <w:widowControl/>
              <w:autoSpaceDE/>
              <w:autoSpaceDN/>
              <w:rPr>
                <w:rFonts w:ascii="Calibri" w:hAnsi="Calibri" w:cs="Calibri"/>
                <w:color w:val="000000"/>
                <w:lang w:val="es-ES_tradnl"/>
              </w:rPr>
            </w:pPr>
            <w:r w:rsidRPr="009F3325">
              <w:rPr>
                <w:rFonts w:ascii="Calibri" w:hAnsi="Calibri" w:cs="Calibri"/>
                <w:color w:val="000000"/>
                <w:lang w:val="es-ES_tradnl"/>
              </w:rPr>
              <w:t>5 años después de la conclusión de la auditoría</w:t>
            </w:r>
          </w:p>
        </w:tc>
      </w:tr>
      <w:tr w:rsidR="003F56A3" w:rsidRPr="009F3325" w14:paraId="3FAA18CD" w14:textId="77777777" w:rsidTr="003F56A3">
        <w:trPr>
          <w:trHeight w:val="20"/>
        </w:trPr>
        <w:tc>
          <w:tcPr>
            <w:tcW w:w="7221" w:type="dxa"/>
            <w:tcBorders>
              <w:top w:val="nil"/>
              <w:left w:val="nil"/>
              <w:bottom w:val="nil"/>
              <w:right w:val="nil"/>
            </w:tcBorders>
            <w:shd w:val="clear" w:color="auto" w:fill="auto"/>
            <w:vAlign w:val="center"/>
            <w:hideMark/>
          </w:tcPr>
          <w:p w14:paraId="1CAA774F" w14:textId="77777777" w:rsidR="003F56A3" w:rsidRPr="009F3325" w:rsidRDefault="003F56A3" w:rsidP="003F56A3">
            <w:pPr>
              <w:widowControl/>
              <w:autoSpaceDE/>
              <w:autoSpaceDN/>
              <w:ind w:left="-102"/>
              <w:rPr>
                <w:rFonts w:ascii="Calibri" w:hAnsi="Calibri" w:cs="Calibri"/>
                <w:color w:val="000000"/>
                <w:lang w:val="es-ES_tradnl"/>
              </w:rPr>
            </w:pPr>
          </w:p>
        </w:tc>
        <w:tc>
          <w:tcPr>
            <w:tcW w:w="2139" w:type="dxa"/>
            <w:tcBorders>
              <w:top w:val="nil"/>
              <w:left w:val="nil"/>
              <w:bottom w:val="nil"/>
              <w:right w:val="nil"/>
            </w:tcBorders>
            <w:shd w:val="clear" w:color="auto" w:fill="auto"/>
            <w:noWrap/>
            <w:vAlign w:val="center"/>
            <w:hideMark/>
          </w:tcPr>
          <w:p w14:paraId="52AFDC7A" w14:textId="77777777" w:rsidR="003F56A3" w:rsidRPr="009F3325" w:rsidRDefault="003F56A3" w:rsidP="003F56A3">
            <w:pPr>
              <w:widowControl/>
              <w:autoSpaceDE/>
              <w:autoSpaceDN/>
              <w:rPr>
                <w:sz w:val="20"/>
                <w:szCs w:val="20"/>
                <w:lang w:val="es-ES_tradnl"/>
              </w:rPr>
            </w:pPr>
          </w:p>
        </w:tc>
      </w:tr>
      <w:tr w:rsidR="003F56A3" w:rsidRPr="009F3325" w14:paraId="5BAF0744" w14:textId="77777777" w:rsidTr="003F56A3">
        <w:trPr>
          <w:trHeight w:val="20"/>
        </w:trPr>
        <w:tc>
          <w:tcPr>
            <w:tcW w:w="7221" w:type="dxa"/>
            <w:tcBorders>
              <w:top w:val="nil"/>
              <w:left w:val="nil"/>
              <w:bottom w:val="nil"/>
              <w:right w:val="nil"/>
            </w:tcBorders>
            <w:shd w:val="clear" w:color="auto" w:fill="auto"/>
            <w:noWrap/>
            <w:vAlign w:val="center"/>
            <w:hideMark/>
          </w:tcPr>
          <w:p w14:paraId="7B863A33" w14:textId="77777777" w:rsidR="003F56A3" w:rsidRPr="009F3325" w:rsidRDefault="003F56A3" w:rsidP="003F56A3">
            <w:pPr>
              <w:widowControl/>
              <w:autoSpaceDE/>
              <w:autoSpaceDN/>
              <w:ind w:left="-102"/>
              <w:rPr>
                <w:color w:val="000000"/>
                <w:sz w:val="24"/>
                <w:szCs w:val="24"/>
                <w:u w:val="single"/>
                <w:lang w:val="es-ES_tradnl"/>
              </w:rPr>
            </w:pPr>
            <w:r w:rsidRPr="009F3325">
              <w:rPr>
                <w:color w:val="000000"/>
                <w:sz w:val="24"/>
                <w:szCs w:val="24"/>
                <w:u w:val="single"/>
                <w:lang w:val="es-ES_tradnl"/>
              </w:rPr>
              <w:t>Registros legales, de seguros y de seguridad</w:t>
            </w:r>
          </w:p>
        </w:tc>
        <w:tc>
          <w:tcPr>
            <w:tcW w:w="2139" w:type="dxa"/>
            <w:tcBorders>
              <w:top w:val="nil"/>
              <w:left w:val="nil"/>
              <w:bottom w:val="nil"/>
              <w:right w:val="nil"/>
            </w:tcBorders>
            <w:shd w:val="clear" w:color="auto" w:fill="auto"/>
            <w:noWrap/>
            <w:vAlign w:val="bottom"/>
            <w:hideMark/>
          </w:tcPr>
          <w:p w14:paraId="6773AC8A" w14:textId="77777777" w:rsidR="003F56A3" w:rsidRPr="009F3325" w:rsidRDefault="003F56A3" w:rsidP="003F56A3">
            <w:pPr>
              <w:widowControl/>
              <w:autoSpaceDE/>
              <w:autoSpaceDN/>
              <w:ind w:firstLineChars="300" w:firstLine="720"/>
              <w:rPr>
                <w:color w:val="000000"/>
                <w:sz w:val="24"/>
                <w:szCs w:val="24"/>
                <w:u w:val="single"/>
                <w:lang w:val="es-ES_tradnl"/>
              </w:rPr>
            </w:pPr>
          </w:p>
        </w:tc>
      </w:tr>
      <w:tr w:rsidR="003F56A3" w:rsidRPr="009F3325" w14:paraId="5F0BA062" w14:textId="77777777" w:rsidTr="003F56A3">
        <w:trPr>
          <w:trHeight w:val="20"/>
        </w:trPr>
        <w:tc>
          <w:tcPr>
            <w:tcW w:w="7221" w:type="dxa"/>
            <w:tcBorders>
              <w:top w:val="nil"/>
              <w:left w:val="nil"/>
              <w:bottom w:val="nil"/>
              <w:right w:val="nil"/>
            </w:tcBorders>
            <w:shd w:val="clear" w:color="auto" w:fill="auto"/>
            <w:noWrap/>
            <w:vAlign w:val="center"/>
            <w:hideMark/>
          </w:tcPr>
          <w:p w14:paraId="64B6B370" w14:textId="64C684E4"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Registros de propiedad intelectual, marcas comerciales y derechos de autor</w:t>
            </w:r>
          </w:p>
        </w:tc>
        <w:tc>
          <w:tcPr>
            <w:tcW w:w="2139" w:type="dxa"/>
            <w:tcBorders>
              <w:top w:val="nil"/>
              <w:left w:val="nil"/>
              <w:bottom w:val="nil"/>
              <w:right w:val="nil"/>
            </w:tcBorders>
            <w:shd w:val="clear" w:color="auto" w:fill="auto"/>
            <w:noWrap/>
            <w:vAlign w:val="center"/>
            <w:hideMark/>
          </w:tcPr>
          <w:p w14:paraId="500EB391"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7712C25B" w14:textId="77777777" w:rsidTr="003F56A3">
        <w:trPr>
          <w:trHeight w:val="20"/>
        </w:trPr>
        <w:tc>
          <w:tcPr>
            <w:tcW w:w="7221" w:type="dxa"/>
            <w:tcBorders>
              <w:top w:val="nil"/>
              <w:left w:val="nil"/>
              <w:bottom w:val="nil"/>
              <w:right w:val="nil"/>
            </w:tcBorders>
            <w:shd w:val="clear" w:color="auto" w:fill="auto"/>
            <w:noWrap/>
            <w:vAlign w:val="center"/>
            <w:hideMark/>
          </w:tcPr>
          <w:p w14:paraId="5C14C038"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Registros de seguros, reclamaciones, pólizas</w:t>
            </w:r>
          </w:p>
        </w:tc>
        <w:tc>
          <w:tcPr>
            <w:tcW w:w="2139" w:type="dxa"/>
            <w:tcBorders>
              <w:top w:val="nil"/>
              <w:left w:val="nil"/>
              <w:bottom w:val="nil"/>
              <w:right w:val="nil"/>
            </w:tcBorders>
            <w:shd w:val="clear" w:color="auto" w:fill="auto"/>
            <w:noWrap/>
            <w:vAlign w:val="center"/>
            <w:hideMark/>
          </w:tcPr>
          <w:p w14:paraId="231EFE69"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1E29422E" w14:textId="77777777" w:rsidTr="003F56A3">
        <w:trPr>
          <w:trHeight w:val="20"/>
        </w:trPr>
        <w:tc>
          <w:tcPr>
            <w:tcW w:w="7221" w:type="dxa"/>
            <w:tcBorders>
              <w:top w:val="nil"/>
              <w:left w:val="nil"/>
              <w:bottom w:val="nil"/>
              <w:right w:val="nil"/>
            </w:tcBorders>
            <w:shd w:val="clear" w:color="auto" w:fill="auto"/>
            <w:noWrap/>
            <w:vAlign w:val="center"/>
            <w:hideMark/>
          </w:tcPr>
          <w:p w14:paraId="25B71073"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Arrendamientos (después del vencimiento)</w:t>
            </w:r>
          </w:p>
        </w:tc>
        <w:tc>
          <w:tcPr>
            <w:tcW w:w="2139" w:type="dxa"/>
            <w:tcBorders>
              <w:top w:val="nil"/>
              <w:left w:val="nil"/>
              <w:bottom w:val="nil"/>
              <w:right w:val="nil"/>
            </w:tcBorders>
            <w:shd w:val="clear" w:color="auto" w:fill="auto"/>
            <w:noWrap/>
            <w:vAlign w:val="center"/>
            <w:hideMark/>
          </w:tcPr>
          <w:p w14:paraId="7AFEDB20"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6 años</w:t>
            </w:r>
          </w:p>
        </w:tc>
      </w:tr>
      <w:tr w:rsidR="003F56A3" w:rsidRPr="009F3325" w14:paraId="282762D0" w14:textId="77777777" w:rsidTr="003F56A3">
        <w:trPr>
          <w:trHeight w:val="20"/>
        </w:trPr>
        <w:tc>
          <w:tcPr>
            <w:tcW w:w="7221" w:type="dxa"/>
            <w:tcBorders>
              <w:top w:val="nil"/>
              <w:left w:val="nil"/>
              <w:bottom w:val="nil"/>
              <w:right w:val="nil"/>
            </w:tcBorders>
            <w:shd w:val="clear" w:color="auto" w:fill="auto"/>
            <w:noWrap/>
            <w:vAlign w:val="center"/>
            <w:hideMark/>
          </w:tcPr>
          <w:p w14:paraId="2FDC9363" w14:textId="2626901E"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Documentos de OSHA; mantenimiento de registros; hojas de datos de seguridad y correspondencia</w:t>
            </w:r>
          </w:p>
        </w:tc>
        <w:tc>
          <w:tcPr>
            <w:tcW w:w="2139" w:type="dxa"/>
            <w:tcBorders>
              <w:top w:val="nil"/>
              <w:left w:val="nil"/>
              <w:bottom w:val="nil"/>
              <w:right w:val="nil"/>
            </w:tcBorders>
            <w:shd w:val="clear" w:color="auto" w:fill="auto"/>
            <w:noWrap/>
            <w:vAlign w:val="center"/>
            <w:hideMark/>
          </w:tcPr>
          <w:p w14:paraId="3C0F0B0A"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3AEEB9F2" w14:textId="77777777" w:rsidTr="003F56A3">
        <w:trPr>
          <w:trHeight w:val="20"/>
        </w:trPr>
        <w:tc>
          <w:tcPr>
            <w:tcW w:w="7221" w:type="dxa"/>
            <w:tcBorders>
              <w:top w:val="nil"/>
              <w:left w:val="nil"/>
              <w:bottom w:val="nil"/>
              <w:right w:val="nil"/>
            </w:tcBorders>
            <w:shd w:val="clear" w:color="auto" w:fill="auto"/>
            <w:noWrap/>
            <w:vAlign w:val="center"/>
            <w:hideMark/>
          </w:tcPr>
          <w:p w14:paraId="0A0699C9"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Contratos generales (después del vencimiento/terminación)</w:t>
            </w:r>
          </w:p>
        </w:tc>
        <w:tc>
          <w:tcPr>
            <w:tcW w:w="2139" w:type="dxa"/>
            <w:tcBorders>
              <w:top w:val="nil"/>
              <w:left w:val="nil"/>
              <w:bottom w:val="nil"/>
              <w:right w:val="nil"/>
            </w:tcBorders>
            <w:shd w:val="clear" w:color="auto" w:fill="auto"/>
            <w:noWrap/>
            <w:vAlign w:val="center"/>
            <w:hideMark/>
          </w:tcPr>
          <w:p w14:paraId="3A466DCA"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7 años</w:t>
            </w:r>
          </w:p>
        </w:tc>
      </w:tr>
      <w:tr w:rsidR="003F56A3" w:rsidRPr="009F3325" w14:paraId="4B999160" w14:textId="77777777" w:rsidTr="003F56A3">
        <w:trPr>
          <w:trHeight w:val="20"/>
        </w:trPr>
        <w:tc>
          <w:tcPr>
            <w:tcW w:w="7221" w:type="dxa"/>
            <w:tcBorders>
              <w:top w:val="nil"/>
              <w:left w:val="nil"/>
              <w:bottom w:val="nil"/>
              <w:right w:val="nil"/>
            </w:tcBorders>
            <w:shd w:val="clear" w:color="auto" w:fill="auto"/>
            <w:noWrap/>
            <w:vAlign w:val="center"/>
            <w:hideMark/>
          </w:tcPr>
          <w:p w14:paraId="73605167" w14:textId="7F564F95"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Correspondencia sobre asuntos legales o tributarios</w:t>
            </w:r>
          </w:p>
        </w:tc>
        <w:tc>
          <w:tcPr>
            <w:tcW w:w="2139" w:type="dxa"/>
            <w:tcBorders>
              <w:top w:val="nil"/>
              <w:left w:val="nil"/>
              <w:bottom w:val="nil"/>
              <w:right w:val="nil"/>
            </w:tcBorders>
            <w:shd w:val="clear" w:color="auto" w:fill="auto"/>
            <w:noWrap/>
            <w:vAlign w:val="center"/>
            <w:hideMark/>
          </w:tcPr>
          <w:p w14:paraId="511FCA1D"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134B995E" w14:textId="77777777" w:rsidTr="003F56A3">
        <w:trPr>
          <w:trHeight w:val="20"/>
        </w:trPr>
        <w:tc>
          <w:tcPr>
            <w:tcW w:w="7221" w:type="dxa"/>
            <w:tcBorders>
              <w:top w:val="nil"/>
              <w:left w:val="nil"/>
              <w:bottom w:val="nil"/>
              <w:right w:val="nil"/>
            </w:tcBorders>
            <w:shd w:val="clear" w:color="auto" w:fill="auto"/>
            <w:noWrap/>
            <w:vAlign w:val="center"/>
            <w:hideMark/>
          </w:tcPr>
          <w:p w14:paraId="5D6AFDB8"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Registros de residuos peligrosos</w:t>
            </w:r>
          </w:p>
        </w:tc>
        <w:tc>
          <w:tcPr>
            <w:tcW w:w="2139" w:type="dxa"/>
            <w:tcBorders>
              <w:top w:val="nil"/>
              <w:left w:val="nil"/>
              <w:bottom w:val="nil"/>
              <w:right w:val="nil"/>
            </w:tcBorders>
            <w:shd w:val="clear" w:color="auto" w:fill="auto"/>
            <w:noWrap/>
            <w:vAlign w:val="center"/>
            <w:hideMark/>
          </w:tcPr>
          <w:p w14:paraId="6C94609F"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31027F72" w14:textId="77777777" w:rsidTr="003F56A3">
        <w:trPr>
          <w:trHeight w:val="20"/>
        </w:trPr>
        <w:tc>
          <w:tcPr>
            <w:tcW w:w="7221" w:type="dxa"/>
            <w:tcBorders>
              <w:top w:val="nil"/>
              <w:left w:val="nil"/>
              <w:bottom w:val="nil"/>
              <w:right w:val="nil"/>
            </w:tcBorders>
            <w:shd w:val="clear" w:color="auto" w:fill="auto"/>
            <w:noWrap/>
            <w:vAlign w:val="center"/>
            <w:hideMark/>
          </w:tcPr>
          <w:p w14:paraId="56476A50"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Informes a cualquier agencia gubernamental</w:t>
            </w:r>
          </w:p>
        </w:tc>
        <w:tc>
          <w:tcPr>
            <w:tcW w:w="2139" w:type="dxa"/>
            <w:tcBorders>
              <w:top w:val="nil"/>
              <w:left w:val="nil"/>
              <w:bottom w:val="nil"/>
              <w:right w:val="nil"/>
            </w:tcBorders>
            <w:shd w:val="clear" w:color="auto" w:fill="auto"/>
            <w:noWrap/>
            <w:vAlign w:val="center"/>
            <w:hideMark/>
          </w:tcPr>
          <w:p w14:paraId="0CC65DA0"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35FCD489" w14:textId="77777777" w:rsidTr="003F56A3">
        <w:trPr>
          <w:trHeight w:val="20"/>
        </w:trPr>
        <w:tc>
          <w:tcPr>
            <w:tcW w:w="7221" w:type="dxa"/>
            <w:tcBorders>
              <w:top w:val="nil"/>
              <w:left w:val="nil"/>
              <w:bottom w:val="nil"/>
              <w:right w:val="nil"/>
            </w:tcBorders>
            <w:shd w:val="clear" w:color="auto" w:fill="auto"/>
            <w:noWrap/>
            <w:vAlign w:val="center"/>
            <w:hideMark/>
          </w:tcPr>
          <w:p w14:paraId="47DFF45B" w14:textId="77777777" w:rsidR="003F56A3" w:rsidRPr="009F3325" w:rsidRDefault="003F56A3" w:rsidP="003F56A3">
            <w:pPr>
              <w:widowControl/>
              <w:autoSpaceDE/>
              <w:autoSpaceDN/>
              <w:ind w:left="-102"/>
              <w:rPr>
                <w:color w:val="000000"/>
                <w:sz w:val="24"/>
                <w:szCs w:val="24"/>
                <w:lang w:val="es-ES_tradnl"/>
              </w:rPr>
            </w:pPr>
          </w:p>
        </w:tc>
        <w:tc>
          <w:tcPr>
            <w:tcW w:w="2139" w:type="dxa"/>
            <w:tcBorders>
              <w:top w:val="nil"/>
              <w:left w:val="nil"/>
              <w:bottom w:val="nil"/>
              <w:right w:val="nil"/>
            </w:tcBorders>
            <w:shd w:val="clear" w:color="auto" w:fill="auto"/>
            <w:noWrap/>
            <w:vAlign w:val="bottom"/>
            <w:hideMark/>
          </w:tcPr>
          <w:p w14:paraId="75AE2CE2" w14:textId="77777777" w:rsidR="003F56A3" w:rsidRPr="009F3325" w:rsidRDefault="003F56A3" w:rsidP="003F56A3">
            <w:pPr>
              <w:widowControl/>
              <w:autoSpaceDE/>
              <w:autoSpaceDN/>
              <w:rPr>
                <w:sz w:val="20"/>
                <w:szCs w:val="20"/>
                <w:lang w:val="es-ES_tradnl"/>
              </w:rPr>
            </w:pPr>
          </w:p>
        </w:tc>
      </w:tr>
      <w:tr w:rsidR="003F56A3" w:rsidRPr="009F3325" w14:paraId="638D234A" w14:textId="77777777" w:rsidTr="003F56A3">
        <w:trPr>
          <w:trHeight w:val="20"/>
        </w:trPr>
        <w:tc>
          <w:tcPr>
            <w:tcW w:w="7221" w:type="dxa"/>
            <w:tcBorders>
              <w:top w:val="nil"/>
              <w:left w:val="nil"/>
              <w:bottom w:val="nil"/>
              <w:right w:val="nil"/>
            </w:tcBorders>
            <w:shd w:val="clear" w:color="auto" w:fill="auto"/>
            <w:noWrap/>
            <w:vAlign w:val="center"/>
            <w:hideMark/>
          </w:tcPr>
          <w:p w14:paraId="3F725E1E" w14:textId="77777777" w:rsidR="003F56A3" w:rsidRPr="009F3325" w:rsidRDefault="003F56A3" w:rsidP="003F56A3">
            <w:pPr>
              <w:widowControl/>
              <w:autoSpaceDE/>
              <w:autoSpaceDN/>
              <w:ind w:left="-102"/>
              <w:rPr>
                <w:color w:val="000000"/>
                <w:sz w:val="24"/>
                <w:szCs w:val="24"/>
                <w:u w:val="single"/>
                <w:lang w:val="es-ES_tradnl"/>
              </w:rPr>
            </w:pPr>
            <w:r w:rsidRPr="009F3325">
              <w:rPr>
                <w:color w:val="000000"/>
                <w:sz w:val="24"/>
                <w:szCs w:val="24"/>
                <w:u w:val="single"/>
                <w:lang w:val="es-ES_tradnl"/>
              </w:rPr>
              <w:t>Registros corporativos</w:t>
            </w:r>
          </w:p>
        </w:tc>
        <w:tc>
          <w:tcPr>
            <w:tcW w:w="2139" w:type="dxa"/>
            <w:tcBorders>
              <w:top w:val="nil"/>
              <w:left w:val="nil"/>
              <w:bottom w:val="nil"/>
              <w:right w:val="nil"/>
            </w:tcBorders>
            <w:shd w:val="clear" w:color="auto" w:fill="auto"/>
            <w:noWrap/>
            <w:vAlign w:val="bottom"/>
            <w:hideMark/>
          </w:tcPr>
          <w:p w14:paraId="21917047" w14:textId="77777777" w:rsidR="003F56A3" w:rsidRPr="009F3325" w:rsidRDefault="003F56A3" w:rsidP="003F56A3">
            <w:pPr>
              <w:widowControl/>
              <w:autoSpaceDE/>
              <w:autoSpaceDN/>
              <w:ind w:firstLineChars="300" w:firstLine="720"/>
              <w:rPr>
                <w:color w:val="000000"/>
                <w:sz w:val="24"/>
                <w:szCs w:val="24"/>
                <w:u w:val="single"/>
                <w:lang w:val="es-ES_tradnl"/>
              </w:rPr>
            </w:pPr>
          </w:p>
        </w:tc>
      </w:tr>
      <w:tr w:rsidR="003F56A3" w:rsidRPr="009F3325" w14:paraId="00F873C9" w14:textId="77777777" w:rsidTr="003F56A3">
        <w:trPr>
          <w:trHeight w:val="20"/>
        </w:trPr>
        <w:tc>
          <w:tcPr>
            <w:tcW w:w="7221" w:type="dxa"/>
            <w:tcBorders>
              <w:top w:val="nil"/>
              <w:left w:val="nil"/>
              <w:bottom w:val="nil"/>
              <w:right w:val="nil"/>
            </w:tcBorders>
            <w:shd w:val="clear" w:color="auto" w:fill="auto"/>
            <w:noWrap/>
            <w:vAlign w:val="center"/>
            <w:hideMark/>
          </w:tcPr>
          <w:p w14:paraId="388FC35F" w14:textId="3829A9AC"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Gestión corporativa;</w:t>
            </w:r>
          </w:p>
        </w:tc>
        <w:tc>
          <w:tcPr>
            <w:tcW w:w="2139" w:type="dxa"/>
            <w:tcBorders>
              <w:top w:val="nil"/>
              <w:left w:val="nil"/>
              <w:bottom w:val="nil"/>
              <w:right w:val="nil"/>
            </w:tcBorders>
            <w:shd w:val="clear" w:color="auto" w:fill="auto"/>
            <w:noWrap/>
            <w:vAlign w:val="center"/>
            <w:hideMark/>
          </w:tcPr>
          <w:p w14:paraId="7E46E627"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6A3766FE" w14:textId="77777777" w:rsidTr="003F56A3">
        <w:trPr>
          <w:trHeight w:val="20"/>
        </w:trPr>
        <w:tc>
          <w:tcPr>
            <w:tcW w:w="7221" w:type="dxa"/>
            <w:tcBorders>
              <w:top w:val="nil"/>
              <w:left w:val="nil"/>
              <w:bottom w:val="nil"/>
              <w:right w:val="nil"/>
            </w:tcBorders>
            <w:shd w:val="clear" w:color="auto" w:fill="auto"/>
            <w:vAlign w:val="center"/>
            <w:hideMark/>
          </w:tcPr>
          <w:p w14:paraId="567EA52F" w14:textId="10AE9912"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Incluir todos los siguientes artículos, informes anuales, estatutos, actas de la reunión de la Junta, políticas/resoluciones de la Junta, registros de acciones de capital y bonos; etc.</w:t>
            </w:r>
          </w:p>
        </w:tc>
        <w:tc>
          <w:tcPr>
            <w:tcW w:w="2139" w:type="dxa"/>
            <w:tcBorders>
              <w:top w:val="nil"/>
              <w:left w:val="nil"/>
              <w:bottom w:val="nil"/>
              <w:right w:val="nil"/>
            </w:tcBorders>
            <w:shd w:val="clear" w:color="auto" w:fill="auto"/>
            <w:noWrap/>
            <w:vAlign w:val="bottom"/>
            <w:hideMark/>
          </w:tcPr>
          <w:p w14:paraId="5393DAA2" w14:textId="77777777" w:rsidR="003F56A3" w:rsidRPr="009F3325" w:rsidRDefault="003F56A3" w:rsidP="003F56A3">
            <w:pPr>
              <w:widowControl/>
              <w:autoSpaceDE/>
              <w:autoSpaceDN/>
              <w:ind w:firstLineChars="300" w:firstLine="720"/>
              <w:rPr>
                <w:color w:val="000000"/>
                <w:sz w:val="24"/>
                <w:szCs w:val="24"/>
                <w:lang w:val="es-ES_tradnl"/>
              </w:rPr>
            </w:pPr>
          </w:p>
        </w:tc>
      </w:tr>
      <w:tr w:rsidR="003F56A3" w:rsidRPr="009F3325" w14:paraId="13880803" w14:textId="77777777" w:rsidTr="003F56A3">
        <w:trPr>
          <w:trHeight w:val="20"/>
        </w:trPr>
        <w:tc>
          <w:tcPr>
            <w:tcW w:w="7221" w:type="dxa"/>
            <w:tcBorders>
              <w:top w:val="nil"/>
              <w:left w:val="nil"/>
              <w:bottom w:val="nil"/>
              <w:right w:val="nil"/>
            </w:tcBorders>
            <w:shd w:val="clear" w:color="auto" w:fill="auto"/>
            <w:noWrap/>
            <w:vAlign w:val="center"/>
            <w:hideMark/>
          </w:tcPr>
          <w:p w14:paraId="6A771EEC" w14:textId="6FCD56F2"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Escrituras, servidumbres, registros inmobiliarios</w:t>
            </w:r>
          </w:p>
        </w:tc>
        <w:tc>
          <w:tcPr>
            <w:tcW w:w="2139" w:type="dxa"/>
            <w:tcBorders>
              <w:top w:val="nil"/>
              <w:left w:val="nil"/>
              <w:bottom w:val="nil"/>
              <w:right w:val="nil"/>
            </w:tcBorders>
            <w:shd w:val="clear" w:color="auto" w:fill="auto"/>
            <w:noWrap/>
            <w:vAlign w:val="center"/>
            <w:hideMark/>
          </w:tcPr>
          <w:p w14:paraId="76EA3F37"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399CBF48" w14:textId="77777777" w:rsidTr="003F56A3">
        <w:trPr>
          <w:trHeight w:val="20"/>
        </w:trPr>
        <w:tc>
          <w:tcPr>
            <w:tcW w:w="7221" w:type="dxa"/>
            <w:tcBorders>
              <w:top w:val="nil"/>
              <w:left w:val="nil"/>
              <w:bottom w:val="nil"/>
              <w:right w:val="nil"/>
            </w:tcBorders>
            <w:shd w:val="clear" w:color="auto" w:fill="auto"/>
            <w:noWrap/>
            <w:vAlign w:val="center"/>
            <w:hideMark/>
          </w:tcPr>
          <w:p w14:paraId="64A80546"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Registros de jubilación o pensión</w:t>
            </w:r>
          </w:p>
        </w:tc>
        <w:tc>
          <w:tcPr>
            <w:tcW w:w="2139" w:type="dxa"/>
            <w:tcBorders>
              <w:top w:val="nil"/>
              <w:left w:val="nil"/>
              <w:bottom w:val="nil"/>
              <w:right w:val="nil"/>
            </w:tcBorders>
            <w:shd w:val="clear" w:color="auto" w:fill="auto"/>
            <w:noWrap/>
            <w:vAlign w:val="center"/>
            <w:hideMark/>
          </w:tcPr>
          <w:p w14:paraId="1CDF3263"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Indefinido</w:t>
            </w:r>
          </w:p>
        </w:tc>
      </w:tr>
      <w:tr w:rsidR="003F56A3" w:rsidRPr="009F3325" w14:paraId="1DA984D9" w14:textId="77777777" w:rsidTr="003F56A3">
        <w:trPr>
          <w:trHeight w:val="20"/>
        </w:trPr>
        <w:tc>
          <w:tcPr>
            <w:tcW w:w="7221" w:type="dxa"/>
            <w:tcBorders>
              <w:top w:val="nil"/>
              <w:left w:val="nil"/>
              <w:bottom w:val="nil"/>
              <w:right w:val="nil"/>
            </w:tcBorders>
            <w:shd w:val="clear" w:color="auto" w:fill="auto"/>
            <w:noWrap/>
            <w:vAlign w:val="center"/>
            <w:hideMark/>
          </w:tcPr>
          <w:p w14:paraId="4D62F34A"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Contratos (después del vencimiento)</w:t>
            </w:r>
          </w:p>
        </w:tc>
        <w:tc>
          <w:tcPr>
            <w:tcW w:w="2139" w:type="dxa"/>
            <w:tcBorders>
              <w:top w:val="nil"/>
              <w:left w:val="nil"/>
              <w:bottom w:val="nil"/>
              <w:right w:val="nil"/>
            </w:tcBorders>
            <w:shd w:val="clear" w:color="auto" w:fill="auto"/>
            <w:noWrap/>
            <w:vAlign w:val="center"/>
            <w:hideMark/>
          </w:tcPr>
          <w:p w14:paraId="681C3852"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3 años</w:t>
            </w:r>
          </w:p>
        </w:tc>
      </w:tr>
      <w:tr w:rsidR="003F56A3" w:rsidRPr="009F3325" w14:paraId="5A6FF6AF" w14:textId="77777777" w:rsidTr="003F56A3">
        <w:trPr>
          <w:trHeight w:val="20"/>
        </w:trPr>
        <w:tc>
          <w:tcPr>
            <w:tcW w:w="7221" w:type="dxa"/>
            <w:tcBorders>
              <w:top w:val="nil"/>
              <w:left w:val="nil"/>
              <w:bottom w:val="nil"/>
              <w:right w:val="nil"/>
            </w:tcBorders>
            <w:shd w:val="clear" w:color="auto" w:fill="auto"/>
            <w:noWrap/>
            <w:vAlign w:val="center"/>
            <w:hideMark/>
          </w:tcPr>
          <w:p w14:paraId="0B5A3142" w14:textId="77777777"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Correspondencia (General)</w:t>
            </w:r>
          </w:p>
        </w:tc>
        <w:tc>
          <w:tcPr>
            <w:tcW w:w="2139" w:type="dxa"/>
            <w:tcBorders>
              <w:top w:val="nil"/>
              <w:left w:val="nil"/>
              <w:bottom w:val="nil"/>
              <w:right w:val="nil"/>
            </w:tcBorders>
            <w:shd w:val="clear" w:color="auto" w:fill="auto"/>
            <w:noWrap/>
            <w:vAlign w:val="center"/>
            <w:hideMark/>
          </w:tcPr>
          <w:p w14:paraId="1E205BD7" w14:textId="77777777" w:rsidR="003F56A3" w:rsidRPr="009F3325" w:rsidRDefault="003F56A3" w:rsidP="003F56A3">
            <w:pPr>
              <w:widowControl/>
              <w:autoSpaceDE/>
              <w:autoSpaceDN/>
              <w:ind w:firstLineChars="300" w:firstLine="720"/>
              <w:rPr>
                <w:color w:val="000000"/>
                <w:sz w:val="24"/>
                <w:szCs w:val="24"/>
                <w:lang w:val="es-ES_tradnl"/>
              </w:rPr>
            </w:pPr>
            <w:r w:rsidRPr="009F3325">
              <w:rPr>
                <w:color w:val="000000"/>
                <w:sz w:val="24"/>
                <w:szCs w:val="24"/>
                <w:lang w:val="es-ES_tradnl"/>
              </w:rPr>
              <w:t>3 años</w:t>
            </w:r>
          </w:p>
        </w:tc>
      </w:tr>
      <w:tr w:rsidR="003F56A3" w:rsidRPr="009F3325" w14:paraId="6F703DF7" w14:textId="77777777" w:rsidTr="003F56A3">
        <w:trPr>
          <w:trHeight w:val="20"/>
        </w:trPr>
        <w:tc>
          <w:tcPr>
            <w:tcW w:w="7221" w:type="dxa"/>
            <w:tcBorders>
              <w:top w:val="nil"/>
              <w:left w:val="nil"/>
              <w:bottom w:val="nil"/>
              <w:right w:val="nil"/>
            </w:tcBorders>
            <w:shd w:val="clear" w:color="auto" w:fill="auto"/>
            <w:noWrap/>
            <w:vAlign w:val="center"/>
            <w:hideMark/>
          </w:tcPr>
          <w:p w14:paraId="14577E87" w14:textId="77777777" w:rsidR="003F56A3" w:rsidRPr="009F3325" w:rsidRDefault="003F56A3" w:rsidP="003F56A3">
            <w:pPr>
              <w:widowControl/>
              <w:autoSpaceDE/>
              <w:autoSpaceDN/>
              <w:ind w:left="-102"/>
              <w:rPr>
                <w:color w:val="000000"/>
                <w:sz w:val="24"/>
                <w:szCs w:val="24"/>
                <w:lang w:val="es-ES_tradnl"/>
              </w:rPr>
            </w:pPr>
          </w:p>
        </w:tc>
        <w:tc>
          <w:tcPr>
            <w:tcW w:w="2139" w:type="dxa"/>
            <w:tcBorders>
              <w:top w:val="nil"/>
              <w:left w:val="nil"/>
              <w:bottom w:val="nil"/>
              <w:right w:val="nil"/>
            </w:tcBorders>
            <w:shd w:val="clear" w:color="auto" w:fill="auto"/>
            <w:noWrap/>
            <w:vAlign w:val="bottom"/>
            <w:hideMark/>
          </w:tcPr>
          <w:p w14:paraId="7B9DCA8B" w14:textId="77777777" w:rsidR="003F56A3" w:rsidRPr="009F3325" w:rsidRDefault="003F56A3" w:rsidP="003F56A3">
            <w:pPr>
              <w:widowControl/>
              <w:autoSpaceDE/>
              <w:autoSpaceDN/>
              <w:rPr>
                <w:sz w:val="20"/>
                <w:szCs w:val="20"/>
                <w:lang w:val="es-ES_tradnl"/>
              </w:rPr>
            </w:pPr>
          </w:p>
        </w:tc>
      </w:tr>
      <w:tr w:rsidR="003F56A3" w:rsidRPr="009F3325" w14:paraId="679068A2" w14:textId="77777777" w:rsidTr="003F56A3">
        <w:trPr>
          <w:trHeight w:val="20"/>
        </w:trPr>
        <w:tc>
          <w:tcPr>
            <w:tcW w:w="7221" w:type="dxa"/>
            <w:tcBorders>
              <w:top w:val="nil"/>
              <w:left w:val="nil"/>
              <w:bottom w:val="nil"/>
              <w:right w:val="nil"/>
            </w:tcBorders>
            <w:shd w:val="clear" w:color="auto" w:fill="auto"/>
            <w:noWrap/>
            <w:vAlign w:val="center"/>
            <w:hideMark/>
          </w:tcPr>
          <w:p w14:paraId="40061628" w14:textId="77777777" w:rsidR="003F56A3" w:rsidRPr="009F3325" w:rsidRDefault="003F56A3" w:rsidP="003F56A3">
            <w:pPr>
              <w:widowControl/>
              <w:autoSpaceDE/>
              <w:autoSpaceDN/>
              <w:ind w:left="-102"/>
              <w:rPr>
                <w:color w:val="000000"/>
                <w:sz w:val="24"/>
                <w:szCs w:val="24"/>
                <w:u w:val="single"/>
                <w:lang w:val="es-ES_tradnl"/>
              </w:rPr>
            </w:pPr>
            <w:r w:rsidRPr="009F3325">
              <w:rPr>
                <w:color w:val="000000"/>
                <w:sz w:val="24"/>
                <w:szCs w:val="24"/>
                <w:u w:val="single"/>
                <w:lang w:val="es-ES_tradnl"/>
              </w:rPr>
              <w:t>Datos personales</w:t>
            </w:r>
          </w:p>
        </w:tc>
        <w:tc>
          <w:tcPr>
            <w:tcW w:w="2139" w:type="dxa"/>
            <w:tcBorders>
              <w:top w:val="nil"/>
              <w:left w:val="nil"/>
              <w:bottom w:val="nil"/>
              <w:right w:val="nil"/>
            </w:tcBorders>
            <w:shd w:val="clear" w:color="auto" w:fill="auto"/>
            <w:noWrap/>
            <w:vAlign w:val="bottom"/>
            <w:hideMark/>
          </w:tcPr>
          <w:p w14:paraId="448CC5E3" w14:textId="77777777" w:rsidR="003F56A3" w:rsidRPr="009F3325" w:rsidRDefault="003F56A3" w:rsidP="003F56A3">
            <w:pPr>
              <w:widowControl/>
              <w:autoSpaceDE/>
              <w:autoSpaceDN/>
              <w:ind w:firstLineChars="300" w:firstLine="720"/>
              <w:rPr>
                <w:color w:val="000000"/>
                <w:sz w:val="24"/>
                <w:szCs w:val="24"/>
                <w:u w:val="single"/>
                <w:lang w:val="es-ES_tradnl"/>
              </w:rPr>
            </w:pPr>
          </w:p>
        </w:tc>
      </w:tr>
      <w:tr w:rsidR="003F56A3" w:rsidRPr="009F3325" w14:paraId="72B67613" w14:textId="77777777" w:rsidTr="003F56A3">
        <w:trPr>
          <w:trHeight w:val="20"/>
        </w:trPr>
        <w:tc>
          <w:tcPr>
            <w:tcW w:w="7221" w:type="dxa"/>
            <w:tcBorders>
              <w:top w:val="nil"/>
              <w:left w:val="nil"/>
              <w:bottom w:val="nil"/>
              <w:right w:val="nil"/>
            </w:tcBorders>
            <w:shd w:val="clear" w:color="auto" w:fill="auto"/>
            <w:noWrap/>
            <w:vAlign w:val="center"/>
            <w:hideMark/>
          </w:tcPr>
          <w:p w14:paraId="2A0B0085" w14:textId="338D6A71"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Datos personales: ver detalles en la parte IX</w:t>
            </w:r>
          </w:p>
        </w:tc>
        <w:tc>
          <w:tcPr>
            <w:tcW w:w="2139" w:type="dxa"/>
            <w:tcBorders>
              <w:top w:val="nil"/>
              <w:left w:val="nil"/>
              <w:bottom w:val="nil"/>
              <w:right w:val="nil"/>
            </w:tcBorders>
            <w:shd w:val="clear" w:color="auto" w:fill="auto"/>
            <w:noWrap/>
            <w:vAlign w:val="bottom"/>
            <w:hideMark/>
          </w:tcPr>
          <w:p w14:paraId="031FB6DA" w14:textId="77777777" w:rsidR="003F56A3" w:rsidRPr="009F3325" w:rsidRDefault="003F56A3" w:rsidP="003F56A3">
            <w:pPr>
              <w:widowControl/>
              <w:autoSpaceDE/>
              <w:autoSpaceDN/>
              <w:ind w:firstLineChars="300" w:firstLine="720"/>
              <w:rPr>
                <w:color w:val="000000"/>
                <w:sz w:val="24"/>
                <w:szCs w:val="24"/>
                <w:lang w:val="es-ES_tradnl"/>
              </w:rPr>
            </w:pPr>
          </w:p>
        </w:tc>
      </w:tr>
      <w:tr w:rsidR="003F56A3" w:rsidRPr="009F3325" w14:paraId="5821D148" w14:textId="77777777" w:rsidTr="003F56A3">
        <w:trPr>
          <w:trHeight w:val="20"/>
        </w:trPr>
        <w:tc>
          <w:tcPr>
            <w:tcW w:w="7221" w:type="dxa"/>
            <w:tcBorders>
              <w:top w:val="nil"/>
              <w:left w:val="nil"/>
              <w:bottom w:val="nil"/>
              <w:right w:val="nil"/>
            </w:tcBorders>
            <w:shd w:val="clear" w:color="auto" w:fill="auto"/>
            <w:noWrap/>
            <w:vAlign w:val="center"/>
            <w:hideMark/>
          </w:tcPr>
          <w:p w14:paraId="5CDCAF8A" w14:textId="53393383" w:rsidR="003F56A3" w:rsidRPr="009F3325" w:rsidRDefault="003F56A3" w:rsidP="003F56A3">
            <w:pPr>
              <w:widowControl/>
              <w:autoSpaceDE/>
              <w:autoSpaceDN/>
              <w:ind w:left="-102"/>
              <w:rPr>
                <w:color w:val="000000"/>
                <w:sz w:val="24"/>
                <w:szCs w:val="24"/>
                <w:lang w:val="es-ES_tradnl"/>
              </w:rPr>
            </w:pPr>
            <w:r w:rsidRPr="009F3325">
              <w:rPr>
                <w:color w:val="000000"/>
                <w:sz w:val="24"/>
                <w:szCs w:val="24"/>
                <w:lang w:val="es-ES_tradnl"/>
              </w:rPr>
              <w:t>Registros relacionados con HIPAA</w:t>
            </w:r>
          </w:p>
        </w:tc>
        <w:tc>
          <w:tcPr>
            <w:tcW w:w="2139" w:type="dxa"/>
            <w:tcBorders>
              <w:top w:val="nil"/>
              <w:left w:val="nil"/>
              <w:bottom w:val="nil"/>
              <w:right w:val="nil"/>
            </w:tcBorders>
            <w:shd w:val="clear" w:color="auto" w:fill="auto"/>
            <w:noWrap/>
            <w:vAlign w:val="center"/>
            <w:hideMark/>
          </w:tcPr>
          <w:p w14:paraId="19471C9F" w14:textId="47973EAA" w:rsidR="003F56A3" w:rsidRPr="009F3325" w:rsidRDefault="002A1B09" w:rsidP="002A1B09">
            <w:pPr>
              <w:widowControl/>
              <w:autoSpaceDE/>
              <w:autoSpaceDN/>
              <w:ind w:firstLineChars="300" w:firstLine="720"/>
              <w:rPr>
                <w:color w:val="000000"/>
                <w:sz w:val="24"/>
                <w:szCs w:val="24"/>
                <w:lang w:val="es-ES_tradnl"/>
              </w:rPr>
            </w:pPr>
            <w:r>
              <w:rPr>
                <w:color w:val="000000"/>
                <w:sz w:val="24"/>
                <w:szCs w:val="24"/>
                <w:lang w:val="es-ES_tradnl"/>
              </w:rPr>
              <w:t>6 años después</w:t>
            </w:r>
          </w:p>
        </w:tc>
      </w:tr>
      <w:tr w:rsidR="003F56A3" w:rsidRPr="009F3325" w14:paraId="116D2EED" w14:textId="77777777" w:rsidTr="003F56A3">
        <w:trPr>
          <w:trHeight w:val="20"/>
        </w:trPr>
        <w:tc>
          <w:tcPr>
            <w:tcW w:w="9365" w:type="dxa"/>
            <w:gridSpan w:val="2"/>
            <w:tcBorders>
              <w:top w:val="nil"/>
              <w:left w:val="nil"/>
              <w:bottom w:val="nil"/>
              <w:right w:val="nil"/>
            </w:tcBorders>
            <w:shd w:val="clear" w:color="auto" w:fill="auto"/>
            <w:noWrap/>
            <w:vAlign w:val="center"/>
            <w:hideMark/>
          </w:tcPr>
          <w:p w14:paraId="2466A8F9" w14:textId="0D2BA97D" w:rsidR="003F56A3" w:rsidRPr="009F3325" w:rsidRDefault="002A1B09" w:rsidP="003F56A3">
            <w:pPr>
              <w:widowControl/>
              <w:autoSpaceDE/>
              <w:autoSpaceDN/>
              <w:ind w:left="-102"/>
              <w:rPr>
                <w:color w:val="000000"/>
                <w:sz w:val="24"/>
                <w:szCs w:val="24"/>
                <w:lang w:val="es-ES_tradnl"/>
              </w:rPr>
            </w:pPr>
            <w:proofErr w:type="gramStart"/>
            <w:r>
              <w:rPr>
                <w:color w:val="000000"/>
                <w:sz w:val="24"/>
                <w:szCs w:val="24"/>
                <w:lang w:val="es-ES_tradnl"/>
              </w:rPr>
              <w:t>de</w:t>
            </w:r>
            <w:proofErr w:type="gramEnd"/>
            <w:r>
              <w:rPr>
                <w:color w:val="000000"/>
                <w:sz w:val="24"/>
                <w:szCs w:val="24"/>
                <w:lang w:val="es-ES_tradnl"/>
              </w:rPr>
              <w:t xml:space="preserve"> la </w:t>
            </w:r>
            <w:r w:rsidR="003F56A3" w:rsidRPr="009F3325">
              <w:rPr>
                <w:color w:val="000000"/>
                <w:sz w:val="24"/>
                <w:szCs w:val="24"/>
                <w:lang w:val="es-ES_tradnl"/>
              </w:rPr>
              <w:t>creación, o si el documento describía una política, 6 años a partir de la última vez que se implementó la política.</w:t>
            </w:r>
          </w:p>
        </w:tc>
      </w:tr>
    </w:tbl>
    <w:p w14:paraId="0E873093" w14:textId="77777777" w:rsidR="007A4481" w:rsidRPr="009F3325" w:rsidRDefault="007A4481">
      <w:pPr>
        <w:pStyle w:val="Textoindependiente"/>
        <w:ind w:left="0"/>
        <w:rPr>
          <w:sz w:val="26"/>
          <w:lang w:val="es-ES_tradnl"/>
        </w:rPr>
      </w:pPr>
    </w:p>
    <w:p w14:paraId="24675223" w14:textId="77777777" w:rsidR="007A4481" w:rsidRPr="009F3325" w:rsidRDefault="002E5E27">
      <w:pPr>
        <w:pStyle w:val="Textoindependiente"/>
        <w:spacing w:line="242" w:lineRule="auto"/>
        <w:ind w:right="1369"/>
        <w:rPr>
          <w:lang w:val="es-ES_tradnl"/>
        </w:rPr>
      </w:pPr>
      <w:r w:rsidRPr="009F3325">
        <w:rPr>
          <w:lang w:val="es-ES_tradnl"/>
        </w:rPr>
        <w:t xml:space="preserve">Todos los gerentes son responsables de mantener </w:t>
      </w:r>
      <w:r w:rsidRPr="009F3325">
        <w:rPr>
          <w:lang w:val="es-ES_tradnl"/>
        </w:rPr>
        <w:t>actualizadas las leyes de retención de registros que rigen sus respectivos departamentos. En los casos en que la ley actual difiera de esta política, prevalecerá la ley.</w:t>
      </w:r>
    </w:p>
    <w:p w14:paraId="2AC6D25F" w14:textId="77777777" w:rsidR="007A4481" w:rsidRPr="009F3325" w:rsidRDefault="007A4481">
      <w:pPr>
        <w:pStyle w:val="Textoindependiente"/>
        <w:spacing w:before="9"/>
        <w:ind w:left="0"/>
        <w:rPr>
          <w:sz w:val="23"/>
          <w:lang w:val="es-ES_tradnl"/>
        </w:rPr>
      </w:pPr>
    </w:p>
    <w:p w14:paraId="28814F32" w14:textId="547A06D9" w:rsidR="007A4481" w:rsidRPr="009F3325" w:rsidRDefault="002E5E27">
      <w:pPr>
        <w:pStyle w:val="Prrafodelista"/>
        <w:numPr>
          <w:ilvl w:val="0"/>
          <w:numId w:val="1"/>
        </w:numPr>
        <w:tabs>
          <w:tab w:val="left" w:pos="929"/>
        </w:tabs>
        <w:spacing w:line="275" w:lineRule="exact"/>
        <w:ind w:left="928" w:hanging="389"/>
        <w:rPr>
          <w:b/>
          <w:sz w:val="24"/>
          <w:lang w:val="es-ES_tradnl"/>
        </w:rPr>
      </w:pPr>
      <w:r w:rsidRPr="009F3325">
        <w:rPr>
          <w:b/>
          <w:bCs/>
          <w:sz w:val="24"/>
          <w:lang w:val="es-ES_tradnl"/>
        </w:rPr>
        <w:t>Políticas de correos electrónicos, documentos y registros electrónicos</w:t>
      </w:r>
    </w:p>
    <w:p w14:paraId="03C7EBFD" w14:textId="39B5B3B6" w:rsidR="007A4481" w:rsidRPr="009F3325" w:rsidRDefault="002E5E27">
      <w:pPr>
        <w:pStyle w:val="Textoindependiente"/>
        <w:ind w:right="1369"/>
        <w:rPr>
          <w:lang w:val="es-ES_tradnl"/>
        </w:rPr>
      </w:pPr>
      <w:r w:rsidRPr="009F3325">
        <w:rPr>
          <w:u w:val="single"/>
          <w:lang w:val="es-ES_tradnl"/>
        </w:rPr>
        <w:t>Los documentos</w:t>
      </w:r>
      <w:r w:rsidRPr="009F3325">
        <w:rPr>
          <w:u w:val="single"/>
          <w:lang w:val="es-ES_tradnl"/>
        </w:rPr>
        <w:t xml:space="preserve"> electrónicos se conservarán como si fueran documentos en papel.</w:t>
      </w:r>
      <w:r w:rsidRPr="009F3325">
        <w:rPr>
          <w:lang w:val="es-ES_tradnl"/>
        </w:rPr>
        <w:t xml:space="preserve"> Por lo tanto, cualquier archivo electrónico que pertenezca a uno de los tipos de documentos en la tabla de plazos anterior se mantendrá durante el tiempo apropiado. Si un usuario tiene motivo</w:t>
      </w:r>
      <w:r w:rsidRPr="009F3325">
        <w:rPr>
          <w:lang w:val="es-ES_tradnl"/>
        </w:rPr>
        <w:t>s suficientes para guardar un mensaje de correo electrónico, el mensaje debe guardarse en su unidad compartida local como un mensaje de correo electrónico o PDF; para los archivos de envío, el mensaje debe guardarse con los documentos de envío en el sistem</w:t>
      </w:r>
      <w:r w:rsidRPr="009F3325">
        <w:rPr>
          <w:lang w:val="es-ES_tradnl"/>
        </w:rPr>
        <w:t>a operativo.</w:t>
      </w:r>
    </w:p>
    <w:p w14:paraId="27B4EC94" w14:textId="77777777" w:rsidR="007A4481" w:rsidRPr="009F3325" w:rsidRDefault="007A4481">
      <w:pPr>
        <w:pStyle w:val="Textoindependiente"/>
        <w:spacing w:before="11"/>
        <w:ind w:left="0"/>
        <w:rPr>
          <w:sz w:val="23"/>
          <w:lang w:val="es-ES_tradnl"/>
        </w:rPr>
      </w:pPr>
    </w:p>
    <w:p w14:paraId="0B460B59" w14:textId="487A11AD" w:rsidR="007A4481" w:rsidRPr="009F3325" w:rsidRDefault="002E5E27" w:rsidP="003F56A3">
      <w:pPr>
        <w:pStyle w:val="Textoindependiente"/>
        <w:ind w:right="1369"/>
        <w:rPr>
          <w:lang w:val="es-ES_tradnl"/>
        </w:rPr>
      </w:pPr>
      <w:r w:rsidRPr="009F3325">
        <w:rPr>
          <w:lang w:val="es-ES_tradnl"/>
        </w:rPr>
        <w:t>Todos los sistemas de comunicación electrónica, así como todas las comunicaciones y la información almacenada transmitida, recibida o contenida en los sistemas de información de la Empresa son propiedad de la Empresa. Los empleados que utiliz</w:t>
      </w:r>
      <w:r w:rsidRPr="009F3325">
        <w:rPr>
          <w:lang w:val="es-ES_tradnl"/>
        </w:rPr>
        <w:t xml:space="preserve">an este equipo para fines personales lo hacen bajo su propio riesgo. Además, los empleados no pueden usar una contraseña o código de acceso, acceder a un archivo ni recuperar ninguna comunicación almacenada, a menos que estén autorizados para hacerlo. Los </w:t>
      </w:r>
      <w:r w:rsidRPr="009F3325">
        <w:rPr>
          <w:lang w:val="es-ES_tradnl"/>
        </w:rPr>
        <w:t xml:space="preserve">empleados no tienen ninguna expectativa de privacidad en relación con el uso del equipo de la Empresa o con la transmisión, recepción o </w:t>
      </w:r>
      <w:r w:rsidRPr="009F3325">
        <w:rPr>
          <w:lang w:val="es-ES_tradnl"/>
        </w:rPr>
        <w:lastRenderedPageBreak/>
        <w:t>almacenamiento de información utilizando el equipo de la Empresa. El personal autorizado de la Empresa puede acceder a l</w:t>
      </w:r>
      <w:r w:rsidRPr="009F3325">
        <w:rPr>
          <w:lang w:val="es-ES_tradnl"/>
        </w:rPr>
        <w:t>as comunicaciones y la información almacenada en cualquier momento sin previo aviso o consentimiento. Los empleados deben evitar el uso del correo electrónico de la Empresa para fines personales. Los correos electrónicos personales deben eliminarse lo ante</w:t>
      </w:r>
      <w:r w:rsidRPr="009F3325">
        <w:rPr>
          <w:lang w:val="es-ES_tradnl"/>
        </w:rPr>
        <w:t>s posible.</w:t>
      </w:r>
    </w:p>
    <w:p w14:paraId="192E0729" w14:textId="77777777" w:rsidR="007A4481" w:rsidRPr="009F3325" w:rsidRDefault="007A4481">
      <w:pPr>
        <w:pStyle w:val="Textoindependiente"/>
        <w:spacing w:before="1"/>
        <w:ind w:left="0"/>
        <w:rPr>
          <w:lang w:val="es-ES_tradnl"/>
        </w:rPr>
      </w:pPr>
    </w:p>
    <w:p w14:paraId="15D581B8" w14:textId="77777777" w:rsidR="007A4481" w:rsidRPr="009F3325" w:rsidRDefault="002E5E27">
      <w:pPr>
        <w:pStyle w:val="Prrafodelista"/>
        <w:numPr>
          <w:ilvl w:val="0"/>
          <w:numId w:val="1"/>
        </w:numPr>
        <w:tabs>
          <w:tab w:val="left" w:pos="838"/>
        </w:tabs>
        <w:spacing w:line="275" w:lineRule="exact"/>
        <w:ind w:left="837" w:hanging="298"/>
        <w:rPr>
          <w:b/>
          <w:sz w:val="24"/>
          <w:lang w:val="es-ES_tradnl"/>
        </w:rPr>
      </w:pPr>
      <w:r w:rsidRPr="009F3325">
        <w:rPr>
          <w:b/>
          <w:bCs/>
          <w:sz w:val="24"/>
          <w:lang w:val="es-ES_tradnl"/>
        </w:rPr>
        <w:t>Planificación de emergencias</w:t>
      </w:r>
    </w:p>
    <w:p w14:paraId="3ADE30CF" w14:textId="0EB0F4F9" w:rsidR="007A4481" w:rsidRPr="009F3325" w:rsidRDefault="002E5E27">
      <w:pPr>
        <w:pStyle w:val="Textoindependiente"/>
        <w:ind w:right="1369"/>
        <w:rPr>
          <w:lang w:val="es-ES_tradnl"/>
        </w:rPr>
      </w:pPr>
      <w:r w:rsidRPr="009F3325">
        <w:rPr>
          <w:lang w:val="es-ES_tradnl"/>
        </w:rPr>
        <w:t>Los registros de SEKO se almacenarán de manera segura y accesible. Los documentos y archivos financieros que son esenciales para mantener el funcionamiento de SEKO en una emergencia se duplicarán o respaldarán al me</w:t>
      </w:r>
      <w:r w:rsidRPr="009F3325">
        <w:rPr>
          <w:lang w:val="es-ES_tradnl"/>
        </w:rPr>
        <w:t>nos cada semana y se mantendrán de alguna forma en el sistema de recuperación de desastres o de archivos de la empresa.</w:t>
      </w:r>
    </w:p>
    <w:p w14:paraId="79033B2E" w14:textId="77777777" w:rsidR="007A4481" w:rsidRPr="009F3325" w:rsidRDefault="007A4481">
      <w:pPr>
        <w:pStyle w:val="Textoindependiente"/>
        <w:spacing w:before="1"/>
        <w:ind w:left="0"/>
        <w:rPr>
          <w:lang w:val="es-ES_tradnl"/>
        </w:rPr>
      </w:pPr>
    </w:p>
    <w:p w14:paraId="0C024694" w14:textId="20B65AF3" w:rsidR="007A4481" w:rsidRPr="009F3325" w:rsidRDefault="002E5E27">
      <w:pPr>
        <w:pStyle w:val="Prrafodelista"/>
        <w:numPr>
          <w:ilvl w:val="0"/>
          <w:numId w:val="1"/>
        </w:numPr>
        <w:tabs>
          <w:tab w:val="left" w:pos="929"/>
        </w:tabs>
        <w:spacing w:before="1" w:line="275" w:lineRule="exact"/>
        <w:ind w:left="928" w:hanging="389"/>
        <w:jc w:val="both"/>
        <w:rPr>
          <w:b/>
          <w:sz w:val="24"/>
          <w:lang w:val="es-ES_tradnl"/>
        </w:rPr>
      </w:pPr>
      <w:r w:rsidRPr="009F3325">
        <w:rPr>
          <w:b/>
          <w:bCs/>
          <w:sz w:val="24"/>
          <w:lang w:val="es-ES_tradnl"/>
        </w:rPr>
        <w:t>Destrucción de documentos y almacenamiento fuera del sitio</w:t>
      </w:r>
    </w:p>
    <w:p w14:paraId="4E5A60C6" w14:textId="4A4A2AEF" w:rsidR="007A4481" w:rsidRPr="009F3325" w:rsidRDefault="002E5E27">
      <w:pPr>
        <w:pStyle w:val="Textoindependiente"/>
        <w:ind w:right="1602"/>
        <w:jc w:val="both"/>
        <w:rPr>
          <w:lang w:val="es-ES_tradnl"/>
        </w:rPr>
      </w:pPr>
      <w:r w:rsidRPr="009F3325">
        <w:rPr>
          <w:lang w:val="es-ES_tradnl"/>
        </w:rPr>
        <w:t>El director jurídico de SEKO y el departamento de TI (para los registros alm</w:t>
      </w:r>
      <w:r w:rsidRPr="009F3325">
        <w:rPr>
          <w:lang w:val="es-ES_tradnl"/>
        </w:rPr>
        <w:t>acenados de forma electrónica) son responsables del proceso continuo de identificación de sus registros, que han cumplido con el plazo de retención requerido y de la supervisión de su destrucción. La destrucción de documentos financieros y relacionados con</w:t>
      </w:r>
      <w:r w:rsidRPr="009F3325">
        <w:rPr>
          <w:lang w:val="es-ES_tradnl"/>
        </w:rPr>
        <w:t xml:space="preserve"> el personal se realizará mediante trituración.</w:t>
      </w:r>
    </w:p>
    <w:p w14:paraId="7C3F70EE" w14:textId="77777777" w:rsidR="007A4481" w:rsidRPr="009F3325" w:rsidRDefault="007A4481">
      <w:pPr>
        <w:pStyle w:val="Textoindependiente"/>
        <w:spacing w:before="1"/>
        <w:ind w:left="0"/>
        <w:rPr>
          <w:lang w:val="es-ES_tradnl"/>
        </w:rPr>
      </w:pPr>
    </w:p>
    <w:p w14:paraId="28DC54F8" w14:textId="1A5DE03A" w:rsidR="007A4481" w:rsidRPr="009F3325" w:rsidRDefault="002E5E27">
      <w:pPr>
        <w:spacing w:before="1"/>
        <w:ind w:left="540" w:right="1369"/>
        <w:rPr>
          <w:sz w:val="24"/>
          <w:lang w:val="es-ES_tradnl"/>
        </w:rPr>
      </w:pPr>
      <w:r w:rsidRPr="009F3325">
        <w:rPr>
          <w:b/>
          <w:bCs/>
          <w:sz w:val="24"/>
          <w:lang w:val="es-ES_tradnl"/>
        </w:rPr>
        <w:t xml:space="preserve">SEKO se esfuerza prescindir del papel y ser lo más automatizado posible. </w:t>
      </w:r>
      <w:r w:rsidRPr="009F3325">
        <w:rPr>
          <w:sz w:val="24"/>
          <w:lang w:val="es-ES_tradnl"/>
        </w:rPr>
        <w:t>Reconocemos que se deben mantener ciertos archivos en papel, sin embargo, alentamos a los gerentes a considerar el costo de nuestro al</w:t>
      </w:r>
      <w:r w:rsidRPr="009F3325">
        <w:rPr>
          <w:sz w:val="24"/>
          <w:lang w:val="es-ES_tradnl"/>
        </w:rPr>
        <w:t>macenamiento fuera del sitio y también a ser conscientes de seguir las prácticas descritas en este documento.</w:t>
      </w:r>
    </w:p>
    <w:p w14:paraId="27B48756" w14:textId="77777777" w:rsidR="007A4481" w:rsidRPr="009F3325" w:rsidRDefault="007A4481">
      <w:pPr>
        <w:pStyle w:val="Textoindependiente"/>
        <w:ind w:left="0"/>
        <w:rPr>
          <w:lang w:val="es-ES_tradnl"/>
        </w:rPr>
      </w:pPr>
    </w:p>
    <w:p w14:paraId="53B8AE88" w14:textId="2C26AB35" w:rsidR="007A4481" w:rsidRPr="009F3325" w:rsidRDefault="002E5E27">
      <w:pPr>
        <w:pStyle w:val="Textoindependiente"/>
        <w:ind w:right="1369"/>
        <w:rPr>
          <w:lang w:val="es-ES_tradnl"/>
        </w:rPr>
      </w:pPr>
      <w:r w:rsidRPr="009F3325">
        <w:rPr>
          <w:lang w:val="es-ES_tradnl"/>
        </w:rPr>
        <w:t>En el caso de que un departamento requiera retención de registros fuera del sitio, el gerente de cada departamento es responsable de garantizar q</w:t>
      </w:r>
      <w:r w:rsidRPr="009F3325">
        <w:rPr>
          <w:lang w:val="es-ES_tradnl"/>
        </w:rPr>
        <w:t xml:space="preserve">ue cualquier registro físico que deba conservarse se empaquete, se pegue con cinta adhesiva, se etiquete con la etiqueta redonda apropiada, se etiquete con el contenido en el exterior de la caja junto con el tipo de registro (es decir, final o permanente) </w:t>
      </w:r>
      <w:r w:rsidRPr="009F3325">
        <w:rPr>
          <w:lang w:val="es-ES_tradnl"/>
        </w:rPr>
        <w:t>y una fecha de destrucción si corresponde, y se agregue a la hoja de transmisión del proveedor de almacenamiento fuera del sitio. Los registros físicos en caja se enviarán a la instalación de almacenamiento fuera del sitio de la Empresa. Los registros físi</w:t>
      </w:r>
      <w:r w:rsidRPr="009F3325">
        <w:rPr>
          <w:lang w:val="es-ES_tradnl"/>
        </w:rPr>
        <w:t>cos se pondrán a disposición de los empleados a solicitud de su gerente, según sea necesario. El almacenamiento en el sitio debe limitarse a los 6 meses actuales del año calendario anterior. Cada departamento tendrá 60 días para preparar las cajas de almac</w:t>
      </w:r>
      <w:r w:rsidRPr="009F3325">
        <w:rPr>
          <w:lang w:val="es-ES_tradnl"/>
        </w:rPr>
        <w:t>enamiento fuera del sitio.</w:t>
      </w:r>
    </w:p>
    <w:p w14:paraId="6F0C6B66" w14:textId="77777777" w:rsidR="007A4481" w:rsidRPr="009F3325" w:rsidRDefault="007A4481">
      <w:pPr>
        <w:pStyle w:val="Textoindependiente"/>
        <w:spacing w:before="1"/>
        <w:ind w:left="0"/>
        <w:rPr>
          <w:lang w:val="es-ES_tradnl"/>
        </w:rPr>
      </w:pPr>
    </w:p>
    <w:p w14:paraId="4A8119A5" w14:textId="7473038A" w:rsidR="007A4481" w:rsidRPr="009F3325" w:rsidRDefault="002E5E27">
      <w:pPr>
        <w:pStyle w:val="Textoindependiente"/>
        <w:ind w:right="1369"/>
        <w:rPr>
          <w:lang w:val="es-ES_tradnl"/>
        </w:rPr>
      </w:pPr>
      <w:r w:rsidRPr="009F3325">
        <w:rPr>
          <w:lang w:val="es-ES_tradnl"/>
        </w:rPr>
        <w:t xml:space="preserve">Cada gerente de departamento mantendrá una lista actualizada de todos los registros almacenados en el sitio y fuera del sitio, junto con las fechas de creación y destrucción de los registros. Utilizando esta lista como </w:t>
      </w:r>
      <w:r w:rsidRPr="009F3325">
        <w:rPr>
          <w:lang w:val="es-ES_tradnl"/>
        </w:rPr>
        <w:t>referencia, SEKO eliminará los registros cuando se cumpla el vencimiento del período de retención de cada registro, como se describe en el Programa de retención de documentos o de otra manera en esta Política.</w:t>
      </w:r>
    </w:p>
    <w:p w14:paraId="55C1B6DE" w14:textId="77777777" w:rsidR="007A4481" w:rsidRPr="009F3325" w:rsidRDefault="007A4481">
      <w:pPr>
        <w:pStyle w:val="Textoindependiente"/>
        <w:spacing w:before="9"/>
        <w:ind w:left="0"/>
        <w:rPr>
          <w:sz w:val="23"/>
          <w:lang w:val="es-ES_tradnl"/>
        </w:rPr>
      </w:pPr>
    </w:p>
    <w:p w14:paraId="03913A05" w14:textId="77777777" w:rsidR="007A4481" w:rsidRPr="009F3325" w:rsidRDefault="002E5E27">
      <w:pPr>
        <w:pStyle w:val="Prrafodelista"/>
        <w:numPr>
          <w:ilvl w:val="0"/>
          <w:numId w:val="1"/>
        </w:numPr>
        <w:tabs>
          <w:tab w:val="left" w:pos="1020"/>
        </w:tabs>
        <w:ind w:left="1020" w:hanging="480"/>
        <w:jc w:val="both"/>
        <w:rPr>
          <w:b/>
          <w:sz w:val="24"/>
          <w:lang w:val="es-ES_tradnl"/>
        </w:rPr>
      </w:pPr>
      <w:r w:rsidRPr="009F3325">
        <w:rPr>
          <w:b/>
          <w:bCs/>
          <w:sz w:val="24"/>
          <w:lang w:val="es-ES_tradnl"/>
        </w:rPr>
        <w:t>Retenciones legales</w:t>
      </w:r>
    </w:p>
    <w:p w14:paraId="756B7D59" w14:textId="0021B9F4" w:rsidR="007A4481" w:rsidRPr="009F3325" w:rsidRDefault="002E5E27">
      <w:pPr>
        <w:pStyle w:val="Textoindependiente"/>
        <w:spacing w:before="3"/>
        <w:ind w:right="1369"/>
        <w:rPr>
          <w:lang w:val="es-ES_tradnl"/>
        </w:rPr>
      </w:pPr>
      <w:r w:rsidRPr="009F3325">
        <w:rPr>
          <w:lang w:val="es-ES_tradnl"/>
        </w:rPr>
        <w:t>Si una demanda, una inves</w:t>
      </w:r>
      <w:r w:rsidRPr="009F3325">
        <w:rPr>
          <w:lang w:val="es-ES_tradnl"/>
        </w:rPr>
        <w:t>tigación u otro procedimiento que involucre a la Empresa es razonablemente previsible, toda destrucción de cualquier documento posiblemente relevante, incluidos los correos electrónicos, debe cesar de inmediato. Los documentos relacionados con la demanda o</w:t>
      </w:r>
      <w:r w:rsidRPr="009F3325">
        <w:rPr>
          <w:lang w:val="es-ES_tradnl"/>
        </w:rPr>
        <w:t xml:space="preserve"> posible problema legal se conservarán y organizarán bajo la supervisión del director jurídico.</w:t>
      </w:r>
    </w:p>
    <w:p w14:paraId="37B4ADA1" w14:textId="77777777" w:rsidR="007A4481" w:rsidRPr="009F3325" w:rsidRDefault="007A4481">
      <w:pPr>
        <w:pStyle w:val="Textoindependiente"/>
        <w:spacing w:before="9"/>
        <w:ind w:left="0"/>
        <w:rPr>
          <w:sz w:val="23"/>
          <w:lang w:val="es-ES_tradnl"/>
        </w:rPr>
      </w:pPr>
    </w:p>
    <w:p w14:paraId="2975BB5A" w14:textId="77777777" w:rsidR="007A4481" w:rsidRPr="009F3325" w:rsidRDefault="002E5E27">
      <w:pPr>
        <w:pStyle w:val="Prrafodelista"/>
        <w:numPr>
          <w:ilvl w:val="0"/>
          <w:numId w:val="1"/>
        </w:numPr>
        <w:tabs>
          <w:tab w:val="left" w:pos="1112"/>
        </w:tabs>
        <w:spacing w:before="1"/>
        <w:ind w:left="1111" w:hanging="572"/>
        <w:jc w:val="both"/>
        <w:rPr>
          <w:b/>
          <w:sz w:val="24"/>
          <w:lang w:val="es-ES_tradnl"/>
        </w:rPr>
      </w:pPr>
      <w:r w:rsidRPr="009F3325">
        <w:rPr>
          <w:b/>
          <w:bCs/>
          <w:sz w:val="24"/>
          <w:lang w:val="es-ES_tradnl"/>
        </w:rPr>
        <w:t>Cumplimiento; Preguntas</w:t>
      </w:r>
    </w:p>
    <w:p w14:paraId="316BBB5B" w14:textId="49622F7E" w:rsidR="007A4481" w:rsidRPr="009F3325" w:rsidRDefault="002E5E27" w:rsidP="002A1B09">
      <w:pPr>
        <w:pStyle w:val="Textoindependiente"/>
        <w:spacing w:before="5" w:line="237" w:lineRule="auto"/>
        <w:ind w:right="1654"/>
        <w:jc w:val="both"/>
        <w:rPr>
          <w:lang w:val="es-ES_tradnl"/>
        </w:rPr>
      </w:pPr>
      <w:r w:rsidRPr="009F3325">
        <w:rPr>
          <w:lang w:val="es-ES_tradnl"/>
        </w:rPr>
        <w:t xml:space="preserve">El incumplimiento por parte de los empleados de esta política puede dar lugar a posibles sanciones civiles y penales contra SEKO y sus </w:t>
      </w:r>
      <w:r w:rsidRPr="009F3325">
        <w:rPr>
          <w:lang w:val="es-ES_tradnl"/>
        </w:rPr>
        <w:t xml:space="preserve">empleados, y a posibles medidas disciplinarias </w:t>
      </w:r>
      <w:r w:rsidRPr="009F3325">
        <w:rPr>
          <w:lang w:val="es-ES_tradnl"/>
        </w:rPr>
        <w:lastRenderedPageBreak/>
        <w:t>contra los individuos</w:t>
      </w:r>
      <w:r w:rsidR="002A1B09">
        <w:rPr>
          <w:lang w:val="es-ES_tradnl"/>
        </w:rPr>
        <w:t xml:space="preserve"> </w:t>
      </w:r>
      <w:r w:rsidRPr="009F3325">
        <w:rPr>
          <w:lang w:val="es-ES_tradnl"/>
        </w:rPr>
        <w:t>responsables. El director jurídico, junto con los departamentos de RR. HH., Cumplimiento y TI de SEKO, revisarán periódicamente estos procedimientos para garantizar que cu</w:t>
      </w:r>
      <w:r w:rsidRPr="009F3325">
        <w:rPr>
          <w:lang w:val="es-ES_tradnl"/>
        </w:rPr>
        <w:t>mplan con las regulaciones nuevas o revisadas. Las preguntas sobre esta Política deben dirigirse al Departamento de Recursos Humanos o al director jurídico de SEKO.</w:t>
      </w:r>
    </w:p>
    <w:p w14:paraId="0CFF6C33" w14:textId="77777777" w:rsidR="007A4481" w:rsidRPr="009F3325" w:rsidRDefault="007A4481">
      <w:pPr>
        <w:pStyle w:val="Textoindependiente"/>
        <w:spacing w:before="3"/>
        <w:ind w:left="0"/>
        <w:rPr>
          <w:lang w:val="es-ES_tradnl"/>
        </w:rPr>
      </w:pPr>
    </w:p>
    <w:p w14:paraId="3DE6A7B6" w14:textId="77777777" w:rsidR="007A4481" w:rsidRPr="009F3325" w:rsidRDefault="002E5E27">
      <w:pPr>
        <w:pStyle w:val="Prrafodelista"/>
        <w:numPr>
          <w:ilvl w:val="0"/>
          <w:numId w:val="1"/>
        </w:numPr>
        <w:tabs>
          <w:tab w:val="left" w:pos="929"/>
        </w:tabs>
        <w:ind w:left="928" w:hanging="389"/>
        <w:rPr>
          <w:b/>
          <w:sz w:val="24"/>
          <w:lang w:val="es-ES_tradnl"/>
        </w:rPr>
      </w:pPr>
      <w:r w:rsidRPr="009F3325">
        <w:rPr>
          <w:b/>
          <w:bCs/>
          <w:sz w:val="24"/>
          <w:lang w:val="es-ES_tradnl"/>
        </w:rPr>
        <w:t>Retención y destrucción de datos personales en virtud de las leyes de privacidad de datos</w:t>
      </w:r>
    </w:p>
    <w:p w14:paraId="54BCBA05" w14:textId="77777777" w:rsidR="007A4481" w:rsidRPr="009F3325" w:rsidRDefault="002E5E27">
      <w:pPr>
        <w:pStyle w:val="Textoindependiente"/>
        <w:spacing w:before="185" w:line="259" w:lineRule="auto"/>
        <w:ind w:right="1472"/>
        <w:rPr>
          <w:lang w:val="es-ES_tradnl"/>
        </w:rPr>
      </w:pPr>
      <w:r w:rsidRPr="009F3325">
        <w:rPr>
          <w:lang w:val="es-ES_tradnl"/>
        </w:rPr>
        <w:t>Los datos personales en virtud de las leyes de privacidad incluyen cualquier dato, tanto en formato electrónico como no electrónico, que identifique o pueda utilizarse para identificar a una persona. Los datos personales pueden incluir, entre otros, nombre</w:t>
      </w:r>
      <w:r w:rsidRPr="009F3325">
        <w:rPr>
          <w:lang w:val="es-ES_tradnl"/>
        </w:rPr>
        <w:t>s, direcciones, números de teléfono, direcciones de correo electrónico, números de identificación de empleados, números de identificación emitidos por el gobierno, número de seguro social, número de licencia de conducir, contraseñas de usuario o PIN, crede</w:t>
      </w:r>
      <w:r w:rsidRPr="009F3325">
        <w:rPr>
          <w:lang w:val="es-ES_tradnl"/>
        </w:rPr>
        <w:t>nciales de acceso a la cuenta, números de cuenta financiera, datos de geolocalización, datos biométricos, médicos, de salud o de seguro de salud, origen racial o étnico, incluido el estado de ciudadanía o inmigración.</w:t>
      </w:r>
    </w:p>
    <w:p w14:paraId="673947E7" w14:textId="493C039F" w:rsidR="007A4481" w:rsidRPr="009F3325" w:rsidRDefault="002E5E27">
      <w:pPr>
        <w:pStyle w:val="Textoindependiente"/>
        <w:spacing w:before="161" w:line="259" w:lineRule="auto"/>
        <w:ind w:right="1369"/>
        <w:rPr>
          <w:lang w:val="es-ES_tradnl"/>
        </w:rPr>
      </w:pPr>
      <w:r w:rsidRPr="009F3325">
        <w:rPr>
          <w:lang w:val="es-ES_tradnl"/>
        </w:rPr>
        <w:t xml:space="preserve">La retención de datos personales bajo </w:t>
      </w:r>
      <w:r w:rsidRPr="009F3325">
        <w:rPr>
          <w:lang w:val="es-ES_tradnl"/>
        </w:rPr>
        <w:t>las leyes de privacidad de datos se logra de acuerdo con el programa de retención global establecido anteriormente y, al mismo tiempo, que se garantiza lo siguiente:</w:t>
      </w:r>
    </w:p>
    <w:p w14:paraId="1B884CF3" w14:textId="77777777" w:rsidR="007A4481" w:rsidRPr="009F3325" w:rsidRDefault="002E5E27">
      <w:pPr>
        <w:pStyle w:val="Textoindependiente"/>
        <w:spacing w:before="157" w:line="259" w:lineRule="auto"/>
        <w:ind w:right="1369"/>
        <w:rPr>
          <w:lang w:val="es-ES_tradnl"/>
        </w:rPr>
      </w:pPr>
      <w:r w:rsidRPr="009F3325">
        <w:rPr>
          <w:u w:val="single"/>
          <w:lang w:val="es-ES_tradnl"/>
        </w:rPr>
        <w:t>Los datos personales deben recopilarse para un propósito específico, explícito y legítimo</w:t>
      </w:r>
      <w:r w:rsidRPr="009F3325">
        <w:rPr>
          <w:lang w:val="es-ES_tradnl"/>
        </w:rPr>
        <w:t>,</w:t>
      </w:r>
      <w:r w:rsidRPr="009F3325">
        <w:rPr>
          <w:lang w:val="es-ES_tradnl"/>
        </w:rPr>
        <w:t xml:space="preserve"> y no deben utilizarse más allá de este propósito inicial, excepto para fines científicos, históricos o estadísticos.</w:t>
      </w:r>
    </w:p>
    <w:p w14:paraId="56FCCC8F" w14:textId="77777777" w:rsidR="007A4481" w:rsidRPr="009F3325" w:rsidRDefault="002E5E27">
      <w:pPr>
        <w:pStyle w:val="Textoindependiente"/>
        <w:spacing w:before="158" w:line="259" w:lineRule="auto"/>
        <w:ind w:right="1472"/>
        <w:rPr>
          <w:lang w:val="es-ES_tradnl"/>
        </w:rPr>
      </w:pPr>
      <w:r w:rsidRPr="009F3325">
        <w:rPr>
          <w:u w:val="single"/>
          <w:lang w:val="es-ES_tradnl"/>
        </w:rPr>
        <w:t>Los datos personales no deben conservarse durante más tiempo del necesario para los fines para los que</w:t>
      </w:r>
      <w:r w:rsidRPr="009F3325">
        <w:rPr>
          <w:lang w:val="es-ES_tradnl"/>
        </w:rPr>
        <w:t xml:space="preserve"> </w:t>
      </w:r>
      <w:r w:rsidRPr="009F3325">
        <w:rPr>
          <w:u w:val="single"/>
          <w:lang w:val="es-ES_tradnl"/>
        </w:rPr>
        <w:t>se recopilan</w:t>
      </w:r>
      <w:r w:rsidRPr="009F3325">
        <w:rPr>
          <w:lang w:val="es-ES_tradnl"/>
        </w:rPr>
        <w:t>.</w:t>
      </w:r>
    </w:p>
    <w:p w14:paraId="3B407253" w14:textId="77777777" w:rsidR="007A4481" w:rsidRPr="009F3325" w:rsidRDefault="002E5E27">
      <w:pPr>
        <w:pStyle w:val="Textoindependiente"/>
        <w:spacing w:before="162" w:line="259" w:lineRule="auto"/>
        <w:ind w:right="1369"/>
        <w:rPr>
          <w:lang w:val="es-ES_tradnl"/>
        </w:rPr>
      </w:pPr>
      <w:r w:rsidRPr="009F3325">
        <w:rPr>
          <w:lang w:val="es-ES_tradnl"/>
        </w:rPr>
        <w:t>La destrucción de dat</w:t>
      </w:r>
      <w:r w:rsidRPr="009F3325">
        <w:rPr>
          <w:lang w:val="es-ES_tradnl"/>
        </w:rPr>
        <w:t xml:space="preserve">os personales no electrónicos bajo las leyes de privacidad incluye métodos de destrucción física aprobados por SEKO. La destrucción de los datos personales almacenados en formato electrónico puede incluir </w:t>
      </w:r>
      <w:bookmarkStart w:id="0" w:name="_GoBack"/>
      <w:r w:rsidRPr="009F3325">
        <w:rPr>
          <w:lang w:val="es-ES_tradnl"/>
        </w:rPr>
        <w:t xml:space="preserve">métodos de anonimización </w:t>
      </w:r>
      <w:bookmarkEnd w:id="0"/>
      <w:r w:rsidRPr="009F3325">
        <w:rPr>
          <w:lang w:val="es-ES_tradnl"/>
        </w:rPr>
        <w:t>aprobados por SEKO, que el</w:t>
      </w:r>
      <w:r w:rsidRPr="009F3325">
        <w:rPr>
          <w:lang w:val="es-ES_tradnl"/>
        </w:rPr>
        <w:t>iminan la información de identificación personal de los datos.</w:t>
      </w:r>
    </w:p>
    <w:p w14:paraId="326EB4F7" w14:textId="77777777" w:rsidR="007A4481" w:rsidRPr="009F3325" w:rsidRDefault="002E5E27">
      <w:pPr>
        <w:pStyle w:val="Textoindependiente"/>
        <w:spacing w:before="157"/>
        <w:rPr>
          <w:lang w:val="es-ES_tradnl"/>
        </w:rPr>
      </w:pPr>
      <w:r w:rsidRPr="009F3325">
        <w:rPr>
          <w:lang w:val="es-ES_tradnl"/>
        </w:rPr>
        <w:t>Retención de registros bajo HIPAA</w:t>
      </w:r>
    </w:p>
    <w:p w14:paraId="5C214743" w14:textId="1E63C8E0" w:rsidR="007A4481" w:rsidRPr="009F3325" w:rsidRDefault="002E5E27">
      <w:pPr>
        <w:pStyle w:val="Textoindependiente"/>
        <w:spacing w:before="185" w:line="259" w:lineRule="auto"/>
        <w:ind w:right="1369"/>
        <w:rPr>
          <w:lang w:val="es-ES_tradnl"/>
        </w:rPr>
      </w:pPr>
      <w:r w:rsidRPr="009F3325">
        <w:rPr>
          <w:lang w:val="es-ES_tradnl"/>
        </w:rPr>
        <w:t>Los requisitos de retención se aplican a los registros relacionados con HIPAA (no a los registros médicos de HIPAA que se basan en las leyes estatales).</w:t>
      </w:r>
    </w:p>
    <w:p w14:paraId="03B7C5E3" w14:textId="5EA43E50" w:rsidR="007A4481" w:rsidRPr="009F3325" w:rsidRDefault="002E5E27">
      <w:pPr>
        <w:pStyle w:val="Textoindependiente"/>
        <w:spacing w:before="158" w:line="259" w:lineRule="auto"/>
        <w:ind w:right="1369"/>
        <w:rPr>
          <w:lang w:val="es-ES_tradnl"/>
        </w:rPr>
      </w:pPr>
      <w:r w:rsidRPr="009F3325">
        <w:rPr>
          <w:lang w:val="es-ES_tradnl"/>
        </w:rPr>
        <w:t>Los re</w:t>
      </w:r>
      <w:r w:rsidRPr="009F3325">
        <w:rPr>
          <w:lang w:val="es-ES_tradnl"/>
        </w:rPr>
        <w:t>gistros relacionados con HIPAA incluyen, entre otros, avisos de prácticas de privacidad, evaluaciones de riesgos, análisis de riesgos, planes de contingencia y recuperación ante desastres, acuerdos de socios comerciales, políticas de seguridad y privacidad</w:t>
      </w:r>
      <w:r w:rsidRPr="009F3325">
        <w:rPr>
          <w:lang w:val="es-ES_tradnl"/>
        </w:rPr>
        <w:t xml:space="preserve"> de la información, políticas de sanciones a los empleados, documentación de notificación de incidentes e infracciones, documentación de quejas y resoluciones, registros de mantenimiento de seguridad física, registros de acceso y revisiones de sistemas de </w:t>
      </w:r>
      <w:r w:rsidRPr="009F3325">
        <w:rPr>
          <w:lang w:val="es-ES_tradnl"/>
        </w:rPr>
        <w:t>seguridad de TI, incluidos procedimientos nuevos o tecnologías nuevas implementadas.</w:t>
      </w:r>
    </w:p>
    <w:p w14:paraId="3C2F4233" w14:textId="7D87C47E" w:rsidR="007A4481" w:rsidRPr="009F3325" w:rsidRDefault="002E5E27">
      <w:pPr>
        <w:pStyle w:val="Textoindependiente"/>
        <w:spacing w:before="161" w:line="259" w:lineRule="auto"/>
        <w:ind w:right="1369"/>
        <w:rPr>
          <w:lang w:val="es-ES_tradnl"/>
        </w:rPr>
      </w:pPr>
      <w:r w:rsidRPr="009F3325">
        <w:rPr>
          <w:lang w:val="es-ES_tradnl"/>
        </w:rPr>
        <w:t>Los registros relacionados con HIPAA deben conservarse durante un mínimo de 6 años después de su creación o si el documento describe una política, 6 años a partir de la úl</w:t>
      </w:r>
      <w:r w:rsidRPr="009F3325">
        <w:rPr>
          <w:lang w:val="es-ES_tradnl"/>
        </w:rPr>
        <w:t>tima vez que se implementó la política.</w:t>
      </w:r>
    </w:p>
    <w:p w14:paraId="7C0B62DC" w14:textId="77777777" w:rsidR="007A4481" w:rsidRPr="009F3325" w:rsidRDefault="007A4481">
      <w:pPr>
        <w:spacing w:line="259" w:lineRule="auto"/>
        <w:rPr>
          <w:lang w:val="es-ES_tradnl"/>
        </w:rPr>
        <w:sectPr w:rsidR="007A4481" w:rsidRPr="009F3325">
          <w:headerReference w:type="default" r:id="rId10"/>
          <w:pgSz w:w="12240" w:h="15840"/>
          <w:pgMar w:top="1360" w:right="60" w:bottom="280" w:left="900" w:header="667" w:footer="0" w:gutter="0"/>
          <w:cols w:space="720"/>
        </w:sectPr>
      </w:pPr>
    </w:p>
    <w:p w14:paraId="5BDC84EF" w14:textId="77777777" w:rsidR="007A4481" w:rsidRPr="009F3325" w:rsidRDefault="007A4481">
      <w:pPr>
        <w:pStyle w:val="Textoindependiente"/>
        <w:spacing w:before="2"/>
        <w:ind w:left="0"/>
        <w:rPr>
          <w:sz w:val="25"/>
          <w:lang w:val="es-ES_tradnl"/>
        </w:rPr>
      </w:pPr>
    </w:p>
    <w:p w14:paraId="35E4BE22" w14:textId="77777777" w:rsidR="007A4481" w:rsidRPr="009F3325" w:rsidRDefault="002E5E27">
      <w:pPr>
        <w:pStyle w:val="Textoindependiente"/>
        <w:spacing w:before="90" w:line="259" w:lineRule="auto"/>
        <w:ind w:right="1369"/>
        <w:rPr>
          <w:lang w:val="es-ES_tradnl"/>
        </w:rPr>
      </w:pPr>
      <w:r w:rsidRPr="009F3325">
        <w:rPr>
          <w:lang w:val="es-ES_tradnl"/>
        </w:rPr>
        <w:t>Reconozco que he leído la Política de retención de registros y entiendo lo que se espera de mí.</w:t>
      </w:r>
    </w:p>
    <w:p w14:paraId="235EFB1D" w14:textId="77777777" w:rsidR="007A4481" w:rsidRPr="009F3325" w:rsidRDefault="007A4481">
      <w:pPr>
        <w:pStyle w:val="Textoindependiente"/>
        <w:spacing w:before="2"/>
        <w:ind w:left="0"/>
        <w:rPr>
          <w:sz w:val="14"/>
          <w:lang w:val="es-ES_tradnl"/>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rsidRPr="009F3325" w14:paraId="7037E04B" w14:textId="77777777">
        <w:trPr>
          <w:trHeight w:val="544"/>
        </w:trPr>
        <w:tc>
          <w:tcPr>
            <w:tcW w:w="3382" w:type="dxa"/>
          </w:tcPr>
          <w:p w14:paraId="0DD45C6F" w14:textId="77777777" w:rsidR="007A4481" w:rsidRPr="009F3325" w:rsidRDefault="007A4481">
            <w:pPr>
              <w:pStyle w:val="TableParagraph"/>
              <w:spacing w:before="7" w:after="1"/>
              <w:rPr>
                <w:lang w:val="es-ES_tradnl"/>
              </w:rPr>
            </w:pPr>
          </w:p>
          <w:p w14:paraId="26EABA16" w14:textId="77777777" w:rsidR="007A4481" w:rsidRPr="009F3325" w:rsidRDefault="002E5E27">
            <w:pPr>
              <w:pStyle w:val="TableParagraph"/>
              <w:spacing w:line="20" w:lineRule="exact"/>
              <w:ind w:left="50"/>
              <w:rPr>
                <w:sz w:val="2"/>
                <w:lang w:val="es-ES_tradnl"/>
              </w:rPr>
            </w:pPr>
            <w:r w:rsidRPr="009F3325">
              <w:rPr>
                <w:sz w:val="2"/>
                <w:lang w:val="es-ES_tradnl"/>
              </w:rPr>
            </w:r>
            <w:r w:rsidRPr="009F3325">
              <w:rPr>
                <w:sz w:val="2"/>
                <w:lang w:val="es-ES_tradnl"/>
              </w:rPr>
              <w:pict w14:anchorId="42C34998">
                <v:group id="docshapegroup3" o:spid="_x0000_s1029" style="width:138pt;height:.5pt;mso-position-horizontal-relative:char;mso-position-vertical-relative:line" coordsize="2760,10">
                  <v:line id="_x0000_s1030" style="position:absolute" from="0,5" to="2760,5" strokeweight=".48pt"/>
                  <w10:wrap type="none"/>
                  <w10:anchorlock/>
                </v:group>
              </w:pict>
            </w:r>
          </w:p>
          <w:p w14:paraId="15F19478" w14:textId="77777777" w:rsidR="007A4481" w:rsidRPr="009F3325" w:rsidRDefault="002E5E27">
            <w:pPr>
              <w:pStyle w:val="TableParagraph"/>
              <w:spacing w:line="243" w:lineRule="exact"/>
              <w:ind w:left="50"/>
              <w:rPr>
                <w:sz w:val="24"/>
                <w:lang w:val="es-ES_tradnl"/>
              </w:rPr>
            </w:pPr>
            <w:r w:rsidRPr="009F3325">
              <w:rPr>
                <w:sz w:val="24"/>
                <w:lang w:val="es-ES_tradnl"/>
              </w:rPr>
              <w:t>Firma del empleado</w:t>
            </w:r>
          </w:p>
        </w:tc>
        <w:tc>
          <w:tcPr>
            <w:tcW w:w="2902" w:type="dxa"/>
          </w:tcPr>
          <w:p w14:paraId="6FD97517" w14:textId="77777777" w:rsidR="007A4481" w:rsidRPr="009F3325" w:rsidRDefault="007A4481">
            <w:pPr>
              <w:pStyle w:val="TableParagraph"/>
              <w:spacing w:before="7" w:after="1"/>
              <w:rPr>
                <w:lang w:val="es-ES_tradnl"/>
              </w:rPr>
            </w:pPr>
          </w:p>
          <w:p w14:paraId="046DE7B9" w14:textId="77777777" w:rsidR="007A4481" w:rsidRPr="009F3325" w:rsidRDefault="002E5E27">
            <w:pPr>
              <w:pStyle w:val="TableParagraph"/>
              <w:spacing w:line="20" w:lineRule="exact"/>
              <w:ind w:left="571" w:right="-29"/>
              <w:rPr>
                <w:sz w:val="2"/>
                <w:lang w:val="es-ES_tradnl"/>
              </w:rPr>
            </w:pPr>
            <w:r w:rsidRPr="009F3325">
              <w:rPr>
                <w:sz w:val="2"/>
                <w:lang w:val="es-ES_tradnl"/>
              </w:rPr>
            </w:r>
            <w:r w:rsidRPr="009F3325">
              <w:rPr>
                <w:sz w:val="2"/>
                <w:lang w:val="es-ES_tradnl"/>
              </w:rPr>
              <w:pict w14:anchorId="4F176B05">
                <v:group id="docshapegroup4" o:spid="_x0000_s1027" style="width:114pt;height:.5pt;mso-position-horizontal-relative:char;mso-position-vertical-relative:line" coordsize="2280,10">
                  <v:line id="_x0000_s1028" style="position:absolute" from="0,5" to="2280,5" strokeweight=".48pt"/>
                  <w10:wrap type="none"/>
                  <w10:anchorlock/>
                </v:group>
              </w:pict>
            </w:r>
          </w:p>
          <w:p w14:paraId="075F5B22" w14:textId="5C8A0364" w:rsidR="007A4481" w:rsidRPr="009F3325" w:rsidRDefault="002E5E27">
            <w:pPr>
              <w:pStyle w:val="TableParagraph"/>
              <w:spacing w:line="243" w:lineRule="exact"/>
              <w:ind w:left="571"/>
              <w:rPr>
                <w:sz w:val="24"/>
                <w:lang w:val="es-ES_tradnl"/>
              </w:rPr>
            </w:pPr>
            <w:r w:rsidRPr="009F3325">
              <w:rPr>
                <w:sz w:val="24"/>
                <w:lang w:val="es-ES_tradnl"/>
              </w:rPr>
              <w:t>Fecha</w:t>
            </w:r>
          </w:p>
        </w:tc>
      </w:tr>
    </w:tbl>
    <w:p w14:paraId="2AA49F40" w14:textId="77777777" w:rsidR="007A4481" w:rsidRPr="009F3325" w:rsidRDefault="002E5E27">
      <w:pPr>
        <w:pStyle w:val="Textoindependiente"/>
        <w:spacing w:before="3"/>
        <w:ind w:left="0"/>
        <w:rPr>
          <w:sz w:val="21"/>
          <w:lang w:val="es-ES_tradnl"/>
        </w:rPr>
      </w:pPr>
      <w:r w:rsidRPr="009F3325">
        <w:rPr>
          <w:lang w:val="es-ES_tradnl"/>
        </w:rPr>
        <w:pict w14:anchorId="507173B6">
          <v:shape id="docshape5" o:spid="_x0000_s1026" style="position:absolute;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14:paraId="087E136D" w14:textId="35B109A4" w:rsidR="007A4481" w:rsidRPr="009F3325" w:rsidRDefault="002E5E27">
      <w:pPr>
        <w:pStyle w:val="Textoindependiente"/>
        <w:spacing w:before="2"/>
        <w:ind w:left="665"/>
        <w:rPr>
          <w:lang w:val="es-ES_tradnl"/>
        </w:rPr>
      </w:pPr>
      <w:r w:rsidRPr="009F3325">
        <w:rPr>
          <w:lang w:val="es-ES_tradnl"/>
        </w:rPr>
        <w:t>Nombre en letra imprenta</w:t>
      </w:r>
    </w:p>
    <w:sectPr w:rsidR="007A4481" w:rsidRPr="009F3325">
      <w:pgSz w:w="12240" w:h="15840"/>
      <w:pgMar w:top="1360" w:right="60" w:bottom="280" w:left="900" w:header="6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24284" w14:textId="77777777" w:rsidR="002E5E27" w:rsidRDefault="002E5E27">
      <w:r>
        <w:separator/>
      </w:r>
    </w:p>
  </w:endnote>
  <w:endnote w:type="continuationSeparator" w:id="0">
    <w:p w14:paraId="578F2AE2" w14:textId="77777777" w:rsidR="002E5E27" w:rsidRDefault="002E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CDDBF" w14:textId="77777777" w:rsidR="002E5E27" w:rsidRDefault="002E5E27">
      <w:r>
        <w:separator/>
      </w:r>
    </w:p>
  </w:footnote>
  <w:footnote w:type="continuationSeparator" w:id="0">
    <w:p w14:paraId="51B8CB06" w14:textId="77777777" w:rsidR="002E5E27" w:rsidRDefault="002E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4755" w14:textId="1BDAC8AA" w:rsidR="007A4481" w:rsidRDefault="002E5E27">
    <w:pPr>
      <w:pStyle w:val="Textoindependiente"/>
      <w:spacing w:line="14" w:lineRule="auto"/>
      <w:ind w:left="0"/>
      <w:rPr>
        <w:sz w:val="20"/>
      </w:rPr>
    </w:pPr>
    <w:r>
      <w:rPr>
        <w:noProof/>
        <w:lang w:val="es-AR" w:eastAsia="es-AR"/>
      </w:rPr>
      <w:drawing>
        <wp:anchor distT="0" distB="0" distL="0" distR="0" simplePos="0" relativeHeight="251656704" behindDoc="1" locked="0" layoutInCell="1" allowOverlap="1" wp14:anchorId="68460034" wp14:editId="6082B6B6">
          <wp:simplePos x="0" y="0"/>
          <wp:positionH relativeFrom="page">
            <wp:posOffset>440941</wp:posOffset>
          </wp:positionH>
          <wp:positionV relativeFrom="page">
            <wp:posOffset>423776</wp:posOffset>
          </wp:positionV>
          <wp:extent cx="1355013" cy="43995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C4B1" w14:textId="77777777" w:rsidR="007A4481" w:rsidRDefault="002E5E27">
    <w:pPr>
      <w:pStyle w:val="Textoindependiente"/>
      <w:spacing w:line="14" w:lineRule="auto"/>
      <w:ind w:left="0"/>
      <w:rPr>
        <w:sz w:val="20"/>
      </w:rPr>
    </w:pPr>
    <w:r>
      <w:rPr>
        <w:noProof/>
        <w:lang w:val="es-AR" w:eastAsia="es-AR"/>
      </w:rPr>
      <w:drawing>
        <wp:anchor distT="0" distB="0" distL="0" distR="0" simplePos="0" relativeHeight="251657728"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r>
      <w:pict w14:anchorId="2EEDF0ED">
        <v:shapetype id="_x0000_t202" coordsize="21600,21600" o:spt="202" path="m,l,21600r21600,l21600,xe">
          <v:stroke joinstyle="miter"/>
          <v:path gradientshapeok="t" o:connecttype="rect"/>
        </v:shapetype>
        <v:shape id="docshape2" o:spid="_x0000_s2049" type="#_x0000_t202" style="position:absolute;margin-left:71pt;margin-top:71.35pt;width:428.35pt;height:29pt;z-index:-15865856;mso-position-horizontal-relative:page;mso-position-vertical-relative:page" filled="f" stroked="f">
          <v:textbox inset="0,0,0,0">
            <w:txbxContent>
              <w:p w14:paraId="4472E447" w14:textId="458F480C" w:rsidR="007A4481" w:rsidRPr="009F3325" w:rsidRDefault="007A4481">
                <w:pPr>
                  <w:pStyle w:val="Textoindependiente"/>
                  <w:spacing w:before="12" w:line="237" w:lineRule="auto"/>
                  <w:ind w:left="20"/>
                  <w:rPr>
                    <w:lang w:val="es-AR"/>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AD0C" w14:textId="77777777" w:rsidR="007A4481" w:rsidRDefault="002E5E27">
    <w:pPr>
      <w:pStyle w:val="Textoindependiente"/>
      <w:spacing w:line="14" w:lineRule="auto"/>
      <w:ind w:left="0"/>
      <w:rPr>
        <w:sz w:val="20"/>
      </w:rPr>
    </w:pPr>
    <w:r>
      <w:rPr>
        <w:noProof/>
        <w:lang w:val="es-AR" w:eastAsia="es-AR"/>
      </w:rPr>
      <w:drawing>
        <wp:anchor distT="0" distB="0" distL="0" distR="0" simplePos="0" relativeHeight="25165977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25E"/>
    <w:multiLevelType w:val="hybridMultilevel"/>
    <w:tmpl w:val="37BEFCCE"/>
    <w:lvl w:ilvl="0" w:tplc="32EE3A24">
      <w:start w:val="1"/>
      <w:numFmt w:val="upperRoman"/>
      <w:lvlText w:val="%1."/>
      <w:lvlJc w:val="left"/>
      <w:pPr>
        <w:ind w:left="756" w:hanging="216"/>
        <w:jc w:val="left"/>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4481"/>
    <w:rsid w:val="002A1B09"/>
    <w:rsid w:val="002E5E27"/>
    <w:rsid w:val="003F56A3"/>
    <w:rsid w:val="004860F0"/>
    <w:rsid w:val="007A4481"/>
    <w:rsid w:val="009F3325"/>
    <w:rsid w:val="00C169C8"/>
    <w:rsid w:val="00C26E34"/>
    <w:rsid w:val="00C45BCE"/>
    <w:rsid w:val="00D47739"/>
    <w:rsid w:val="00E41999"/>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ind w:left="540"/>
    </w:pPr>
    <w:rPr>
      <w:sz w:val="24"/>
      <w:szCs w:val="24"/>
    </w:rPr>
  </w:style>
  <w:style w:type="paragraph" w:styleId="Prrafodelista">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47739"/>
    <w:pPr>
      <w:tabs>
        <w:tab w:val="center" w:pos="4680"/>
        <w:tab w:val="right" w:pos="9360"/>
      </w:tabs>
    </w:pPr>
  </w:style>
  <w:style w:type="character" w:customStyle="1" w:styleId="EncabezadoCar">
    <w:name w:val="Encabezado Car"/>
    <w:basedOn w:val="Fuentedeprrafopredeter"/>
    <w:link w:val="Encabezado"/>
    <w:uiPriority w:val="99"/>
    <w:rsid w:val="00D47739"/>
    <w:rPr>
      <w:rFonts w:ascii="Times New Roman" w:eastAsia="Times New Roman" w:hAnsi="Times New Roman" w:cs="Times New Roman"/>
    </w:rPr>
  </w:style>
  <w:style w:type="paragraph" w:styleId="Piedepgina">
    <w:name w:val="footer"/>
    <w:basedOn w:val="Normal"/>
    <w:link w:val="PiedepginaCar"/>
    <w:uiPriority w:val="99"/>
    <w:unhideWhenUsed/>
    <w:rsid w:val="00D47739"/>
    <w:pPr>
      <w:tabs>
        <w:tab w:val="center" w:pos="4680"/>
        <w:tab w:val="right" w:pos="9360"/>
      </w:tabs>
    </w:pPr>
  </w:style>
  <w:style w:type="character" w:customStyle="1" w:styleId="PiedepginaCar">
    <w:name w:val="Pie de página Car"/>
    <w:basedOn w:val="Fuentedeprrafopredeter"/>
    <w:link w:val="Piedepgina"/>
    <w:uiPriority w:val="99"/>
    <w:rsid w:val="00D47739"/>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1"/>
    <w:rsid w:val="009F33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16064</Characters>
  <Application>Microsoft Office Word</Application>
  <DocSecurity>0</DocSecurity>
  <Lines>133</Lines>
  <Paragraphs>37</Paragraphs>
  <ScaleCrop>false</ScaleCrop>
  <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2023-08-31T20:52:00Z</dcterms:modified>
</cp:coreProperties>
</file>